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A31" w:rsidRDefault="00FB2A31">
      <w:pPr>
        <w:pStyle w:val="BodyText"/>
        <w:spacing w:before="5"/>
        <w:rPr>
          <w:rFonts w:ascii="Times New Roman"/>
          <w:b w:val="0"/>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7"/>
        <w:gridCol w:w="5485"/>
      </w:tblGrid>
      <w:tr w:rsidR="00FB2A31">
        <w:trPr>
          <w:trHeight w:val="268"/>
        </w:trPr>
        <w:tc>
          <w:tcPr>
            <w:tcW w:w="3867" w:type="dxa"/>
            <w:shd w:val="clear" w:color="auto" w:fill="5D8B92"/>
          </w:tcPr>
          <w:p w:rsidR="00FB2A31" w:rsidRDefault="00EF0F9A">
            <w:pPr>
              <w:pStyle w:val="TableParagraph"/>
              <w:spacing w:line="248" w:lineRule="exact"/>
              <w:ind w:left="107"/>
              <w:rPr>
                <w:rFonts w:ascii="Calibri"/>
              </w:rPr>
            </w:pPr>
            <w:r>
              <w:rPr>
                <w:rFonts w:ascii="Calibri"/>
                <w:color w:val="FFFFFF"/>
              </w:rPr>
              <w:t>Northeast Roundtable Date:</w:t>
            </w:r>
          </w:p>
        </w:tc>
        <w:tc>
          <w:tcPr>
            <w:tcW w:w="5485" w:type="dxa"/>
          </w:tcPr>
          <w:p w:rsidR="00FB2A31" w:rsidRDefault="000D2DB5">
            <w:pPr>
              <w:pStyle w:val="TableParagraph"/>
              <w:spacing w:line="248" w:lineRule="exact"/>
            </w:pPr>
            <w:r>
              <w:t>January 22</w:t>
            </w:r>
            <w:r>
              <w:rPr>
                <w:vertAlign w:val="superscript"/>
              </w:rPr>
              <w:t xml:space="preserve"> </w:t>
            </w:r>
            <w:r w:rsidR="00EF0F9A">
              <w:t>2019</w:t>
            </w:r>
          </w:p>
        </w:tc>
      </w:tr>
      <w:tr w:rsidR="00FB2A31">
        <w:trPr>
          <w:trHeight w:val="731"/>
        </w:trPr>
        <w:tc>
          <w:tcPr>
            <w:tcW w:w="3867" w:type="dxa"/>
            <w:shd w:val="clear" w:color="auto" w:fill="5D8B92"/>
          </w:tcPr>
          <w:p w:rsidR="00FB2A31" w:rsidRDefault="00EF0F9A">
            <w:pPr>
              <w:pStyle w:val="TableParagraph"/>
              <w:spacing w:line="268" w:lineRule="exact"/>
              <w:ind w:left="107"/>
              <w:rPr>
                <w:rFonts w:ascii="Calibri"/>
              </w:rPr>
            </w:pPr>
            <w:r>
              <w:rPr>
                <w:rFonts w:ascii="Calibri"/>
                <w:color w:val="FFFFFF"/>
              </w:rPr>
              <w:t>Update Prepared By:</w:t>
            </w:r>
          </w:p>
        </w:tc>
        <w:tc>
          <w:tcPr>
            <w:tcW w:w="5485" w:type="dxa"/>
          </w:tcPr>
          <w:p w:rsidR="00FB2A31" w:rsidRDefault="00EF0F9A">
            <w:pPr>
              <w:pStyle w:val="TableParagraph"/>
              <w:spacing w:before="1"/>
              <w:rPr>
                <w:sz w:val="20"/>
              </w:rPr>
            </w:pPr>
            <w:r>
              <w:rPr>
                <w:sz w:val="20"/>
              </w:rPr>
              <w:t>Joelle Scheck, NE Caribou Team Lead, Ministry of Forests, Lands, Natural Resource Operations and Rural Development</w:t>
            </w:r>
          </w:p>
          <w:p w:rsidR="00FB2A31" w:rsidRDefault="00EF0F9A">
            <w:pPr>
              <w:pStyle w:val="TableParagraph"/>
              <w:spacing w:line="222" w:lineRule="exact"/>
              <w:rPr>
                <w:sz w:val="20"/>
              </w:rPr>
            </w:pPr>
            <w:r>
              <w:rPr>
                <w:sz w:val="20"/>
              </w:rPr>
              <w:t>(MFLNRORD)</w:t>
            </w:r>
          </w:p>
        </w:tc>
      </w:tr>
      <w:tr w:rsidR="00FB2A31">
        <w:trPr>
          <w:trHeight w:val="268"/>
        </w:trPr>
        <w:tc>
          <w:tcPr>
            <w:tcW w:w="3867" w:type="dxa"/>
            <w:shd w:val="clear" w:color="auto" w:fill="5D8B92"/>
          </w:tcPr>
          <w:p w:rsidR="00FB2A31" w:rsidRDefault="00EF0F9A">
            <w:pPr>
              <w:pStyle w:val="TableParagraph"/>
              <w:spacing w:line="248" w:lineRule="exact"/>
              <w:ind w:left="107"/>
              <w:rPr>
                <w:rFonts w:ascii="Calibri"/>
              </w:rPr>
            </w:pPr>
            <w:r>
              <w:rPr>
                <w:rFonts w:ascii="Calibri"/>
                <w:color w:val="FFFFFF"/>
              </w:rPr>
              <w:t>Updated Presented to Roundtable by:</w:t>
            </w:r>
          </w:p>
        </w:tc>
        <w:tc>
          <w:tcPr>
            <w:tcW w:w="5485" w:type="dxa"/>
          </w:tcPr>
          <w:p w:rsidR="00FB2A31" w:rsidRDefault="00EF0F9A">
            <w:pPr>
              <w:pStyle w:val="TableParagraph"/>
              <w:spacing w:before="1"/>
              <w:rPr>
                <w:sz w:val="20"/>
              </w:rPr>
            </w:pPr>
            <w:r>
              <w:rPr>
                <w:sz w:val="20"/>
              </w:rPr>
              <w:t>Joelle Scheck, NE Caribou Team Lead, MFLNRORD</w:t>
            </w:r>
          </w:p>
        </w:tc>
      </w:tr>
    </w:tbl>
    <w:p w:rsidR="00FB2A31" w:rsidRDefault="00FB2A31">
      <w:pPr>
        <w:pStyle w:val="BodyText"/>
        <w:spacing w:before="11"/>
        <w:rPr>
          <w:rFonts w:ascii="Times New Roman"/>
          <w:b w:val="0"/>
          <w:sz w:val="28"/>
        </w:rPr>
      </w:pPr>
    </w:p>
    <w:p w:rsidR="00FB2A31" w:rsidRDefault="00EF0F9A">
      <w:pPr>
        <w:pStyle w:val="BodyText"/>
        <w:spacing w:before="101"/>
        <w:ind w:left="100"/>
      </w:pPr>
      <w:r>
        <w:t>PROJECT OVERVIEW</w:t>
      </w:r>
    </w:p>
    <w:p w:rsidR="00FB2A31" w:rsidRDefault="00FB2A31">
      <w:pPr>
        <w:pStyle w:val="BodyText"/>
        <w:spacing w:before="10"/>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645"/>
      </w:tblGrid>
      <w:tr w:rsidR="00FB2A31">
        <w:trPr>
          <w:trHeight w:val="2150"/>
        </w:trPr>
        <w:tc>
          <w:tcPr>
            <w:tcW w:w="1706" w:type="dxa"/>
            <w:shd w:val="clear" w:color="auto" w:fill="5D8B92"/>
          </w:tcPr>
          <w:p w:rsidR="00FB2A31" w:rsidRDefault="00EF0F9A">
            <w:pPr>
              <w:pStyle w:val="TableParagraph"/>
              <w:spacing w:line="268" w:lineRule="exact"/>
              <w:ind w:left="107"/>
              <w:rPr>
                <w:rFonts w:ascii="Calibri"/>
              </w:rPr>
            </w:pPr>
            <w:r>
              <w:rPr>
                <w:rFonts w:ascii="Calibri"/>
                <w:color w:val="FFFFFF"/>
              </w:rPr>
              <w:t>Project Contact</w:t>
            </w:r>
          </w:p>
        </w:tc>
        <w:tc>
          <w:tcPr>
            <w:tcW w:w="7645" w:type="dxa"/>
          </w:tcPr>
          <w:p w:rsidR="00FB2A31" w:rsidRDefault="00EF0F9A">
            <w:pPr>
              <w:pStyle w:val="TableParagraph"/>
              <w:ind w:right="786"/>
            </w:pPr>
            <w:r>
              <w:t xml:space="preserve">David Muter, </w:t>
            </w:r>
            <w:hyperlink r:id="rId7">
              <w:r>
                <w:rPr>
                  <w:color w:val="0462C1"/>
                  <w:u w:val="single" w:color="0462C1"/>
                </w:rPr>
                <w:t>David.Muter@gov.bc.ca</w:t>
              </w:r>
              <w:r>
                <w:rPr>
                  <w:color w:val="0462C1"/>
                </w:rPr>
                <w:t xml:space="preserve"> </w:t>
              </w:r>
            </w:hyperlink>
            <w:r>
              <w:t xml:space="preserve">, Executive Director – Species at Risk Recovery, Resource Stewardship Division, SAR Recovery Branch, MFLNRORD Darcy Peel, </w:t>
            </w:r>
            <w:hyperlink r:id="rId8">
              <w:r>
                <w:rPr>
                  <w:color w:val="0462C1"/>
                  <w:u w:val="single" w:color="0462C1"/>
                </w:rPr>
                <w:t>Darcy.Peel@gov.bc.ca</w:t>
              </w:r>
              <w:r>
                <w:rPr>
                  <w:color w:val="0462C1"/>
                </w:rPr>
                <w:t xml:space="preserve"> </w:t>
              </w:r>
            </w:hyperlink>
            <w:r>
              <w:t>, Director – Caribou Recovery, Resource Stewardship Division, SAR Recovery Branch,</w:t>
            </w:r>
            <w:r>
              <w:rPr>
                <w:spacing w:val="-6"/>
              </w:rPr>
              <w:t xml:space="preserve"> </w:t>
            </w:r>
            <w:r>
              <w:t>MFLNRORD</w:t>
            </w:r>
          </w:p>
          <w:p w:rsidR="00FB2A31" w:rsidRDefault="00EF0F9A">
            <w:pPr>
              <w:pStyle w:val="TableParagraph"/>
              <w:ind w:right="489"/>
            </w:pPr>
            <w:r>
              <w:t xml:space="preserve">Russ Laroche, </w:t>
            </w:r>
            <w:hyperlink r:id="rId9">
              <w:r>
                <w:rPr>
                  <w:color w:val="0462C1"/>
                  <w:u w:val="single" w:color="0462C1"/>
                </w:rPr>
                <w:t>Russ.Laroche@gov.bc.ca</w:t>
              </w:r>
              <w:r>
                <w:rPr>
                  <w:color w:val="0462C1"/>
                </w:rPr>
                <w:t xml:space="preserve"> </w:t>
              </w:r>
            </w:hyperlink>
            <w:r>
              <w:t>, Director, Strategic Initiatives, Resource Stewardship Division, SAR Recovery Branch,</w:t>
            </w:r>
            <w:r>
              <w:rPr>
                <w:spacing w:val="-5"/>
              </w:rPr>
              <w:t xml:space="preserve"> </w:t>
            </w:r>
            <w:r>
              <w:t>MFLNRORD</w:t>
            </w:r>
          </w:p>
          <w:p w:rsidR="00FB2A31" w:rsidRDefault="00EF0F9A">
            <w:pPr>
              <w:pStyle w:val="TableParagraph"/>
              <w:spacing w:line="270" w:lineRule="atLeast"/>
              <w:ind w:right="1106"/>
            </w:pPr>
            <w:r>
              <w:t xml:space="preserve">Joelle Scheck, </w:t>
            </w:r>
            <w:hyperlink r:id="rId10">
              <w:r>
                <w:rPr>
                  <w:color w:val="0462C1"/>
                  <w:u w:val="single" w:color="0462C1"/>
                </w:rPr>
                <w:t>Joelle.Scheck@gov.bc.ca</w:t>
              </w:r>
              <w:r>
                <w:t xml:space="preserve">, </w:t>
              </w:r>
            </w:hyperlink>
            <w:r>
              <w:t>NE Caribou Team Lead, Regional Operations Division, Northeast Region, MFLNRORD</w:t>
            </w:r>
          </w:p>
        </w:tc>
      </w:tr>
      <w:tr w:rsidR="00FB2A31">
        <w:trPr>
          <w:trHeight w:val="267"/>
        </w:trPr>
        <w:tc>
          <w:tcPr>
            <w:tcW w:w="1706" w:type="dxa"/>
            <w:shd w:val="clear" w:color="auto" w:fill="5D8B92"/>
          </w:tcPr>
          <w:p w:rsidR="00FB2A31" w:rsidRDefault="00EF0F9A">
            <w:pPr>
              <w:pStyle w:val="TableParagraph"/>
              <w:spacing w:line="248" w:lineRule="exact"/>
              <w:ind w:left="107"/>
              <w:rPr>
                <w:rFonts w:ascii="Calibri"/>
              </w:rPr>
            </w:pPr>
            <w:r>
              <w:rPr>
                <w:rFonts w:ascii="Calibri"/>
                <w:color w:val="FFFFFF"/>
              </w:rPr>
              <w:t>Ministry/Agency</w:t>
            </w:r>
          </w:p>
        </w:tc>
        <w:tc>
          <w:tcPr>
            <w:tcW w:w="7645" w:type="dxa"/>
          </w:tcPr>
          <w:p w:rsidR="00FB2A31" w:rsidRDefault="00EF0F9A">
            <w:pPr>
              <w:pStyle w:val="TableParagraph"/>
              <w:spacing w:line="248" w:lineRule="exact"/>
            </w:pPr>
            <w:r>
              <w:t xml:space="preserve">B.C. Ministry of Forests, </w:t>
            </w:r>
            <w:r w:rsidR="003C35F9">
              <w:t>L</w:t>
            </w:r>
            <w:r>
              <w:t>ands, Natural Resource Operations and Rural Development</w:t>
            </w:r>
          </w:p>
        </w:tc>
      </w:tr>
      <w:tr w:rsidR="00FB2A31">
        <w:trPr>
          <w:trHeight w:val="7795"/>
        </w:trPr>
        <w:tc>
          <w:tcPr>
            <w:tcW w:w="1706" w:type="dxa"/>
            <w:shd w:val="clear" w:color="auto" w:fill="5D8B92"/>
          </w:tcPr>
          <w:p w:rsidR="00FB2A31" w:rsidRDefault="00EF0F9A">
            <w:pPr>
              <w:pStyle w:val="TableParagraph"/>
              <w:spacing w:line="268" w:lineRule="exact"/>
              <w:ind w:left="107"/>
              <w:rPr>
                <w:rFonts w:ascii="Calibri"/>
              </w:rPr>
            </w:pPr>
            <w:r>
              <w:rPr>
                <w:rFonts w:ascii="Calibri"/>
                <w:color w:val="FFFFFF"/>
              </w:rPr>
              <w:t>Description</w:t>
            </w:r>
          </w:p>
        </w:tc>
        <w:tc>
          <w:tcPr>
            <w:tcW w:w="7645" w:type="dxa"/>
          </w:tcPr>
          <w:p w:rsidR="00FB2A31" w:rsidRDefault="00EF0F9A">
            <w:pPr>
              <w:pStyle w:val="TableParagraph"/>
              <w:ind w:right="260"/>
            </w:pPr>
            <w:r>
              <w:t xml:space="preserve">In 2017 BC and Canada collaborated to draft a Section 11 Agreement for the conservation of the Central Group of Southern Mountain Caribou (SMC). In September 2017 through the public engagement that was done on the Draft Section 11 Agreement, West Moberly First Nations (WMFN) and </w:t>
            </w:r>
            <w:proofErr w:type="spellStart"/>
            <w:r>
              <w:t>Saulteau</w:t>
            </w:r>
            <w:proofErr w:type="spellEnd"/>
            <w:r>
              <w:t xml:space="preserve"> First Nations (SFN) asked to participate in the Agreement given their experience in caribou recovery. As the Section 11 Agreement falls under the Federal Species at Risk Act, Environment and Climate Change Canada (ECCC) recommended that a separate Partnership Agreement (PA) be formed for the Central Group and incorporate Canada, BC, WMFN and SFN. At this time ECCC also expanded the scope of the Section 11 Agreement to cover all Southern Mountain Caribou.</w:t>
            </w:r>
          </w:p>
          <w:p w:rsidR="00FB2A31" w:rsidRDefault="00EF0F9A">
            <w:pPr>
              <w:pStyle w:val="TableParagraph"/>
              <w:ind w:right="559"/>
            </w:pPr>
            <w:r>
              <w:t>Negotiations on both the Partnership Agreement and the expanded Section 11 Agreement ensued through winter 2018 to February 2019.</w:t>
            </w:r>
          </w:p>
          <w:p w:rsidR="00FB2A31" w:rsidRDefault="00FB2A31">
            <w:pPr>
              <w:pStyle w:val="TableParagraph"/>
              <w:spacing w:before="9"/>
              <w:ind w:left="0"/>
              <w:rPr>
                <w:rFonts w:ascii="Century Gothic"/>
                <w:b/>
                <w:sz w:val="21"/>
              </w:rPr>
            </w:pPr>
          </w:p>
          <w:p w:rsidR="00FB2A31" w:rsidRDefault="00EF0F9A">
            <w:pPr>
              <w:pStyle w:val="TableParagraph"/>
              <w:ind w:right="105"/>
            </w:pPr>
            <w:r>
              <w:t>The draft PA is separate from but closely related to draft Section 11 Agreement between BC and ECCC. The draft Section 11 Agreement sets out short, medium, and long-term targets and immediate caribou recovery measures across all Groups of Southern Mountain Caribou and aims to reverse the population decline. Proposed measures in the draft PA apply to the Central Group of SMC only.</w:t>
            </w:r>
          </w:p>
          <w:p w:rsidR="00FB2A31" w:rsidRDefault="00FB2A31">
            <w:pPr>
              <w:pStyle w:val="TableParagraph"/>
              <w:ind w:left="0"/>
              <w:rPr>
                <w:rFonts w:ascii="Century Gothic"/>
                <w:b/>
              </w:rPr>
            </w:pPr>
          </w:p>
          <w:p w:rsidR="00FB2A31" w:rsidRDefault="00EF0F9A">
            <w:pPr>
              <w:pStyle w:val="TableParagraph"/>
              <w:spacing w:before="1"/>
              <w:ind w:right="197"/>
            </w:pPr>
            <w:r>
              <w:t>BC and Canada led engagement on the draft Sec. 11 bi-lateral conservation agreement and the draft PA agreement in April/early May of 2019. During engagement in the Northeast, concerns were expressed by members of the public, local municipalities, and some industry and recreation sectors citing a need for transparency and participation in PA agreement negotiations and the terms of reference for a socio-economic assessment of impacts of potential habitat protections for caribou.</w:t>
            </w:r>
          </w:p>
          <w:p w:rsidR="00FB2A31" w:rsidRDefault="00FB2A31">
            <w:pPr>
              <w:pStyle w:val="TableParagraph"/>
              <w:spacing w:before="3"/>
              <w:ind w:left="0"/>
              <w:rPr>
                <w:rFonts w:ascii="Century Gothic"/>
                <w:b/>
              </w:rPr>
            </w:pPr>
          </w:p>
          <w:p w:rsidR="00FB2A31" w:rsidRDefault="00EF0F9A">
            <w:pPr>
              <w:pStyle w:val="TableParagraph"/>
              <w:spacing w:before="1" w:line="270" w:lineRule="atLeast"/>
              <w:ind w:right="428"/>
            </w:pPr>
            <w:r>
              <w:t>Since the engagement sessions in spring, 2019, BC has taken several steps to address concerns raised including extending the engagement period, appointing</w:t>
            </w:r>
          </w:p>
        </w:tc>
      </w:tr>
    </w:tbl>
    <w:p w:rsidR="00FB2A31" w:rsidRDefault="00FB2A31">
      <w:pPr>
        <w:spacing w:line="270" w:lineRule="atLeast"/>
        <w:sectPr w:rsidR="00FB2A31">
          <w:headerReference w:type="default" r:id="rId11"/>
          <w:footerReference w:type="default" r:id="rId12"/>
          <w:type w:val="continuous"/>
          <w:pgSz w:w="12240" w:h="15840"/>
          <w:pgMar w:top="1560" w:right="1320" w:bottom="1400" w:left="1340" w:header="365" w:footer="1219" w:gutter="0"/>
          <w:pgNumType w:start="1"/>
          <w:cols w:space="720"/>
        </w:sectPr>
      </w:pPr>
    </w:p>
    <w:p w:rsidR="00FB2A31" w:rsidRDefault="00FB2A31">
      <w:pPr>
        <w:pStyle w:val="BodyText"/>
        <w:spacing w:before="3"/>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645"/>
      </w:tblGrid>
      <w:tr w:rsidR="00FB2A31">
        <w:trPr>
          <w:trHeight w:val="3465"/>
        </w:trPr>
        <w:tc>
          <w:tcPr>
            <w:tcW w:w="1706" w:type="dxa"/>
            <w:shd w:val="clear" w:color="auto" w:fill="5D8B92"/>
          </w:tcPr>
          <w:p w:rsidR="00FB2A31" w:rsidRDefault="00FB2A31">
            <w:pPr>
              <w:pStyle w:val="TableParagraph"/>
              <w:ind w:left="0"/>
              <w:rPr>
                <w:rFonts w:ascii="Times New Roman"/>
                <w:sz w:val="20"/>
              </w:rPr>
            </w:pPr>
          </w:p>
        </w:tc>
        <w:tc>
          <w:tcPr>
            <w:tcW w:w="7645" w:type="dxa"/>
          </w:tcPr>
          <w:p w:rsidR="00FB2A31" w:rsidRDefault="00EF0F9A">
            <w:pPr>
              <w:pStyle w:val="TableParagraph"/>
              <w:ind w:right="106"/>
            </w:pPr>
            <w:r>
              <w:t xml:space="preserve">Blair Lekstrom as community liaison, implementing an interim moratorium in High Elevation Winter Range across the Central Group of caribou </w:t>
            </w:r>
            <w:r w:rsidR="00D81181">
              <w:t>while issues regarding the PA are addressed</w:t>
            </w:r>
            <w:r>
              <w:t xml:space="preserve">, and appointing two facilitators, Lorne </w:t>
            </w:r>
            <w:proofErr w:type="spellStart"/>
            <w:r>
              <w:t>Brownsey</w:t>
            </w:r>
            <w:proofErr w:type="spellEnd"/>
            <w:r>
              <w:t xml:space="preserve"> and Patrick Kelly, to bring together leaders from the </w:t>
            </w:r>
            <w:proofErr w:type="spellStart"/>
            <w:r>
              <w:t>Saulteau</w:t>
            </w:r>
            <w:proofErr w:type="spellEnd"/>
            <w:r>
              <w:t xml:space="preserve"> and West Moberly First Nations, the Province, community leaders and key stakeholders.</w:t>
            </w:r>
          </w:p>
          <w:p w:rsidR="00FB2A31" w:rsidRDefault="00FB2A31">
            <w:pPr>
              <w:pStyle w:val="TableParagraph"/>
              <w:spacing w:before="9"/>
              <w:ind w:left="0"/>
              <w:rPr>
                <w:rFonts w:ascii="Century Gothic"/>
                <w:b/>
                <w:sz w:val="19"/>
              </w:rPr>
            </w:pPr>
          </w:p>
          <w:p w:rsidR="00FB2A31" w:rsidRDefault="00EF0F9A">
            <w:pPr>
              <w:pStyle w:val="TableParagraph"/>
              <w:spacing w:before="1"/>
              <w:ind w:right="168"/>
            </w:pPr>
            <w:r w:rsidRPr="000A1FCD">
              <w:t>A leadership table</w:t>
            </w:r>
            <w:r w:rsidR="00D81181" w:rsidRPr="000A1FCD">
              <w:t xml:space="preserve"> occurred </w:t>
            </w:r>
            <w:r w:rsidR="008A4C7C" w:rsidRPr="000A1FCD">
              <w:t xml:space="preserve">in Vancouver </w:t>
            </w:r>
            <w:r w:rsidR="00D81181" w:rsidRPr="000A1FCD">
              <w:t>on November 29</w:t>
            </w:r>
            <w:r w:rsidR="00EC69C5" w:rsidRPr="000A1FCD">
              <w:t>, 2019</w:t>
            </w:r>
            <w:r w:rsidR="00B36104" w:rsidRPr="000A1FCD">
              <w:t xml:space="preserve">.  Lorne </w:t>
            </w:r>
            <w:proofErr w:type="spellStart"/>
            <w:r w:rsidR="00B36104" w:rsidRPr="000A1FCD">
              <w:t>Brownsey</w:t>
            </w:r>
            <w:proofErr w:type="spellEnd"/>
            <w:r w:rsidR="00B36104" w:rsidRPr="000A1FCD">
              <w:t xml:space="preserve"> and Patrick Kelly facilitated the meeting</w:t>
            </w:r>
            <w:r w:rsidR="008A4C7C" w:rsidRPr="000A1FCD">
              <w:t>,</w:t>
            </w:r>
            <w:r w:rsidR="00B36104" w:rsidRPr="000A1FCD">
              <w:t xml:space="preserve"> which </w:t>
            </w:r>
            <w:r w:rsidR="008A4C7C" w:rsidRPr="000A1FCD">
              <w:t>was attended by</w:t>
            </w:r>
            <w:r w:rsidR="00B36104" w:rsidRPr="000A1FCD">
              <w:t xml:space="preserve"> </w:t>
            </w:r>
            <w:r w:rsidR="008A4C7C" w:rsidRPr="000A1FCD">
              <w:t xml:space="preserve">senior </w:t>
            </w:r>
            <w:r w:rsidR="00B36104" w:rsidRPr="000A1FCD">
              <w:t>representati</w:t>
            </w:r>
            <w:r w:rsidR="008A4C7C" w:rsidRPr="000A1FCD">
              <w:t>ves</w:t>
            </w:r>
            <w:r w:rsidR="00B36104" w:rsidRPr="000A1FCD">
              <w:t xml:space="preserve"> from</w:t>
            </w:r>
            <w:r w:rsidR="008A4C7C" w:rsidRPr="000A1FCD">
              <w:t xml:space="preserve"> </w:t>
            </w:r>
            <w:proofErr w:type="spellStart"/>
            <w:r w:rsidR="008A4C7C" w:rsidRPr="000A1FCD">
              <w:t>Saulteau</w:t>
            </w:r>
            <w:proofErr w:type="spellEnd"/>
            <w:r w:rsidR="008A4C7C" w:rsidRPr="000A1FCD">
              <w:t xml:space="preserve"> First Nation, West Moberly First Nation, forestry, mining and oil and gas industries, local governments (including the Peace River Regional District), the BC government, and the Canadian government. </w:t>
            </w:r>
            <w:r w:rsidR="00B36104" w:rsidRPr="000A1FCD">
              <w:t xml:space="preserve"> </w:t>
            </w:r>
            <w:r w:rsidR="008A4C7C" w:rsidRPr="000A1FCD">
              <w:t xml:space="preserve">The Leaders discussed how best to move forward </w:t>
            </w:r>
            <w:r w:rsidR="000A1FCD" w:rsidRPr="000A1FCD">
              <w:t>with</w:t>
            </w:r>
            <w:r w:rsidR="008A4C7C" w:rsidRPr="000A1FCD">
              <w:t xml:space="preserve"> the draft Partnership Agreement.  Leaders discussed the need to establish mechanisms for further work on racism and the development and maintenance of community relations, backcountry access for recreation, and mitigating socio-economic impacts.  Further meetings will be scheduled over winter 2019/20 in support of signing and implementing the draft Partnership Agreement.</w:t>
            </w:r>
          </w:p>
          <w:p w:rsidR="00FB2A31" w:rsidRDefault="00FB2A31">
            <w:pPr>
              <w:pStyle w:val="TableParagraph"/>
              <w:spacing w:before="8"/>
              <w:ind w:left="0"/>
              <w:rPr>
                <w:rFonts w:ascii="Century Gothic"/>
                <w:b/>
                <w:sz w:val="21"/>
              </w:rPr>
            </w:pPr>
          </w:p>
          <w:p w:rsidR="00FB2A31" w:rsidRDefault="008A4C7C">
            <w:pPr>
              <w:pStyle w:val="TableParagraph"/>
              <w:spacing w:before="1" w:line="270" w:lineRule="atLeast"/>
              <w:ind w:right="547"/>
            </w:pPr>
            <w:r>
              <w:t>At present, t</w:t>
            </w:r>
            <w:r w:rsidR="00EF0F9A">
              <w:t>he moratorium is still in place and is scheduled to expire in June 2021 or until resolution on the agreement occurs and permanent measures are put in place.</w:t>
            </w:r>
          </w:p>
        </w:tc>
      </w:tr>
      <w:tr w:rsidR="00FB2A31">
        <w:trPr>
          <w:trHeight w:val="536"/>
        </w:trPr>
        <w:tc>
          <w:tcPr>
            <w:tcW w:w="1706" w:type="dxa"/>
            <w:shd w:val="clear" w:color="auto" w:fill="5D8B92"/>
          </w:tcPr>
          <w:p w:rsidR="00FB2A31" w:rsidRDefault="00EF0F9A">
            <w:pPr>
              <w:pStyle w:val="TableParagraph"/>
              <w:spacing w:line="267" w:lineRule="exact"/>
              <w:ind w:left="107"/>
              <w:rPr>
                <w:rFonts w:ascii="Calibri"/>
              </w:rPr>
            </w:pPr>
            <w:r>
              <w:rPr>
                <w:rFonts w:ascii="Calibri"/>
                <w:color w:val="FFFFFF"/>
              </w:rPr>
              <w:t>Project Phases</w:t>
            </w:r>
          </w:p>
          <w:p w:rsidR="00FB2A31" w:rsidRDefault="00EF0F9A">
            <w:pPr>
              <w:pStyle w:val="TableParagraph"/>
              <w:spacing w:line="249" w:lineRule="exact"/>
              <w:ind w:left="107"/>
              <w:rPr>
                <w:rFonts w:ascii="Calibri"/>
              </w:rPr>
            </w:pPr>
            <w:r>
              <w:rPr>
                <w:rFonts w:ascii="Calibri"/>
                <w:color w:val="FFFFFF"/>
              </w:rPr>
              <w:t>and Schedule</w:t>
            </w:r>
          </w:p>
        </w:tc>
        <w:tc>
          <w:tcPr>
            <w:tcW w:w="7645" w:type="dxa"/>
          </w:tcPr>
          <w:p w:rsidR="00FB2A31" w:rsidRDefault="00EF0F9A">
            <w:pPr>
              <w:pStyle w:val="TableParagraph"/>
              <w:ind w:left="151"/>
              <w:rPr>
                <w:sz w:val="20"/>
              </w:rPr>
            </w:pPr>
            <w:r>
              <w:rPr>
                <w:sz w:val="20"/>
              </w:rPr>
              <w:t>N/A</w:t>
            </w:r>
          </w:p>
        </w:tc>
      </w:tr>
      <w:tr w:rsidR="00FB2A31">
        <w:trPr>
          <w:trHeight w:val="806"/>
        </w:trPr>
        <w:tc>
          <w:tcPr>
            <w:tcW w:w="1706" w:type="dxa"/>
            <w:shd w:val="clear" w:color="auto" w:fill="5D8B92"/>
          </w:tcPr>
          <w:p w:rsidR="00FB2A31" w:rsidRDefault="00EF0F9A">
            <w:pPr>
              <w:pStyle w:val="TableParagraph"/>
              <w:ind w:left="107" w:right="501"/>
              <w:rPr>
                <w:rFonts w:ascii="Calibri"/>
              </w:rPr>
            </w:pPr>
            <w:r>
              <w:rPr>
                <w:rFonts w:ascii="Calibri"/>
                <w:color w:val="FFFFFF"/>
              </w:rPr>
              <w:t>Project Information</w:t>
            </w:r>
          </w:p>
          <w:p w:rsidR="00FB2A31" w:rsidRDefault="00EF0F9A">
            <w:pPr>
              <w:pStyle w:val="TableParagraph"/>
              <w:spacing w:line="249" w:lineRule="exact"/>
              <w:ind w:left="107"/>
              <w:rPr>
                <w:rFonts w:ascii="Calibri"/>
              </w:rPr>
            </w:pPr>
            <w:r>
              <w:rPr>
                <w:rFonts w:ascii="Calibri"/>
                <w:color w:val="FFFFFF"/>
              </w:rPr>
              <w:t>Links</w:t>
            </w:r>
          </w:p>
        </w:tc>
        <w:tc>
          <w:tcPr>
            <w:tcW w:w="7645" w:type="dxa"/>
          </w:tcPr>
          <w:p w:rsidR="00FB2A31" w:rsidRDefault="00B80852">
            <w:pPr>
              <w:pStyle w:val="TableParagraph"/>
              <w:numPr>
                <w:ilvl w:val="0"/>
                <w:numId w:val="2"/>
              </w:numPr>
              <w:tabs>
                <w:tab w:val="left" w:pos="465"/>
                <w:tab w:val="left" w:pos="466"/>
              </w:tabs>
              <w:spacing w:line="268" w:lineRule="exact"/>
            </w:pPr>
            <w:hyperlink r:id="rId13">
              <w:r w:rsidR="00EF0F9A">
                <w:rPr>
                  <w:color w:val="0462C1"/>
                  <w:u w:val="single" w:color="0462C1"/>
                </w:rPr>
                <w:t>https://engage.gov.bc.ca/caribou/section11agreement/</w:t>
              </w:r>
            </w:hyperlink>
          </w:p>
        </w:tc>
      </w:tr>
    </w:tbl>
    <w:p w:rsidR="00FB2A31" w:rsidRDefault="00FB2A31">
      <w:pPr>
        <w:pStyle w:val="BodyText"/>
        <w:spacing w:before="6"/>
        <w:rPr>
          <w:sz w:val="28"/>
        </w:rPr>
      </w:pPr>
    </w:p>
    <w:p w:rsidR="00FB2A31" w:rsidRDefault="00EF0F9A">
      <w:pPr>
        <w:pStyle w:val="BodyText"/>
        <w:spacing w:before="101"/>
        <w:ind w:left="100"/>
      </w:pPr>
      <w:r>
        <w:t>PROJECT UPDATE DETAILS</w:t>
      </w:r>
    </w:p>
    <w:p w:rsidR="00FB2A31" w:rsidRDefault="00FB2A31">
      <w:pPr>
        <w:pStyle w:val="BodyText"/>
        <w:spacing w:before="10"/>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7197"/>
      </w:tblGrid>
      <w:tr w:rsidR="00FB2A31">
        <w:trPr>
          <w:trHeight w:val="498"/>
        </w:trPr>
        <w:tc>
          <w:tcPr>
            <w:tcW w:w="2155" w:type="dxa"/>
            <w:shd w:val="clear" w:color="auto" w:fill="5D8B92"/>
          </w:tcPr>
          <w:p w:rsidR="00FB2A31" w:rsidRDefault="00EF0F9A">
            <w:pPr>
              <w:pStyle w:val="TableParagraph"/>
              <w:spacing w:line="268" w:lineRule="exact"/>
              <w:ind w:left="107"/>
              <w:rPr>
                <w:rFonts w:ascii="Calibri"/>
              </w:rPr>
            </w:pPr>
            <w:r>
              <w:rPr>
                <w:rFonts w:ascii="Calibri"/>
                <w:color w:val="FFFFFF"/>
              </w:rPr>
              <w:t>Update Highlights</w:t>
            </w:r>
          </w:p>
        </w:tc>
        <w:tc>
          <w:tcPr>
            <w:tcW w:w="7197" w:type="dxa"/>
          </w:tcPr>
          <w:p w:rsidR="00FB2A31" w:rsidRDefault="00EF0F9A">
            <w:pPr>
              <w:pStyle w:val="TableParagraph"/>
              <w:numPr>
                <w:ilvl w:val="0"/>
                <w:numId w:val="1"/>
              </w:numPr>
              <w:tabs>
                <w:tab w:val="left" w:pos="468"/>
                <w:tab w:val="left" w:pos="469"/>
              </w:tabs>
              <w:spacing w:line="240" w:lineRule="atLeast"/>
              <w:ind w:right="206"/>
              <w:rPr>
                <w:sz w:val="20"/>
              </w:rPr>
            </w:pPr>
            <w:r>
              <w:rPr>
                <w:sz w:val="20"/>
              </w:rPr>
              <w:t xml:space="preserve">Lorne </w:t>
            </w:r>
            <w:proofErr w:type="spellStart"/>
            <w:r>
              <w:rPr>
                <w:sz w:val="20"/>
              </w:rPr>
              <w:t>Brownsey</w:t>
            </w:r>
            <w:proofErr w:type="spellEnd"/>
            <w:r>
              <w:rPr>
                <w:sz w:val="20"/>
              </w:rPr>
              <w:t xml:space="preserve"> and Patrick Kelly were appointed by the Premier’s Office and</w:t>
            </w:r>
            <w:r>
              <w:rPr>
                <w:spacing w:val="-29"/>
                <w:sz w:val="20"/>
              </w:rPr>
              <w:t xml:space="preserve"> </w:t>
            </w:r>
            <w:r>
              <w:rPr>
                <w:sz w:val="20"/>
              </w:rPr>
              <w:t>are BC’s leads on the</w:t>
            </w:r>
            <w:r>
              <w:rPr>
                <w:spacing w:val="-4"/>
                <w:sz w:val="20"/>
              </w:rPr>
              <w:t xml:space="preserve"> </w:t>
            </w:r>
            <w:r>
              <w:rPr>
                <w:sz w:val="20"/>
              </w:rPr>
              <w:t>file</w:t>
            </w:r>
          </w:p>
          <w:p w:rsidR="00924BAE" w:rsidRDefault="00924BAE">
            <w:pPr>
              <w:pStyle w:val="TableParagraph"/>
              <w:numPr>
                <w:ilvl w:val="0"/>
                <w:numId w:val="1"/>
              </w:numPr>
              <w:tabs>
                <w:tab w:val="left" w:pos="468"/>
                <w:tab w:val="left" w:pos="469"/>
              </w:tabs>
              <w:spacing w:line="240" w:lineRule="atLeast"/>
              <w:ind w:right="206"/>
              <w:rPr>
                <w:sz w:val="20"/>
              </w:rPr>
            </w:pPr>
            <w:r>
              <w:rPr>
                <w:sz w:val="20"/>
              </w:rPr>
              <w:t>A Leadership table occurred in Vancouver on November 29, 2019 with the objective to commence addressing issues raised during the spring 2019 engagement sessions on the draft Partnership Agreement and determine how best to move forward with implementation.</w:t>
            </w:r>
          </w:p>
          <w:p w:rsidR="00924BAE" w:rsidRDefault="00924BAE">
            <w:pPr>
              <w:pStyle w:val="TableParagraph"/>
              <w:numPr>
                <w:ilvl w:val="0"/>
                <w:numId w:val="1"/>
              </w:numPr>
              <w:tabs>
                <w:tab w:val="left" w:pos="468"/>
                <w:tab w:val="left" w:pos="469"/>
              </w:tabs>
              <w:spacing w:line="240" w:lineRule="atLeast"/>
              <w:ind w:right="206"/>
              <w:rPr>
                <w:sz w:val="20"/>
              </w:rPr>
            </w:pPr>
            <w:r>
              <w:rPr>
                <w:sz w:val="20"/>
              </w:rPr>
              <w:t>Further meetings of the Leadership table are anticipated over winter 2019/20.</w:t>
            </w:r>
          </w:p>
          <w:p w:rsidR="00924BAE" w:rsidRPr="00924BAE" w:rsidRDefault="00924BAE" w:rsidP="00924BAE">
            <w:pPr>
              <w:pStyle w:val="TableParagraph"/>
              <w:numPr>
                <w:ilvl w:val="0"/>
                <w:numId w:val="1"/>
              </w:numPr>
              <w:tabs>
                <w:tab w:val="left" w:pos="468"/>
                <w:tab w:val="left" w:pos="469"/>
              </w:tabs>
              <w:spacing w:line="240" w:lineRule="atLeast"/>
              <w:ind w:right="206"/>
              <w:rPr>
                <w:sz w:val="20"/>
              </w:rPr>
            </w:pPr>
            <w:r>
              <w:rPr>
                <w:sz w:val="20"/>
              </w:rPr>
              <w:t>The moratorium in high elevation winter range is still in place and scheduled to expire in June 2021 or until resolution on the agreement occurs.</w:t>
            </w:r>
          </w:p>
        </w:tc>
      </w:tr>
      <w:tr w:rsidR="00FB2A31">
        <w:trPr>
          <w:trHeight w:val="268"/>
        </w:trPr>
        <w:tc>
          <w:tcPr>
            <w:tcW w:w="2155" w:type="dxa"/>
            <w:shd w:val="clear" w:color="auto" w:fill="5D8B92"/>
          </w:tcPr>
          <w:p w:rsidR="00FB2A31" w:rsidRDefault="00EF0F9A">
            <w:pPr>
              <w:pStyle w:val="TableParagraph"/>
              <w:spacing w:line="249" w:lineRule="exact"/>
              <w:ind w:left="107"/>
              <w:rPr>
                <w:rFonts w:ascii="Calibri"/>
              </w:rPr>
            </w:pPr>
            <w:r>
              <w:rPr>
                <w:rFonts w:ascii="Calibri"/>
                <w:color w:val="FFFFFF"/>
              </w:rPr>
              <w:t>Key Dates</w:t>
            </w:r>
          </w:p>
        </w:tc>
        <w:tc>
          <w:tcPr>
            <w:tcW w:w="7197" w:type="dxa"/>
          </w:tcPr>
          <w:p w:rsidR="00FB2A31" w:rsidRDefault="00EF0F9A">
            <w:pPr>
              <w:pStyle w:val="TableParagraph"/>
              <w:ind w:left="108"/>
              <w:rPr>
                <w:rFonts w:ascii="Symbol" w:hAnsi="Symbol"/>
                <w:sz w:val="20"/>
              </w:rPr>
            </w:pPr>
            <w:r>
              <w:rPr>
                <w:rFonts w:ascii="Symbol" w:hAnsi="Symbol"/>
                <w:w w:val="99"/>
                <w:sz w:val="20"/>
              </w:rPr>
              <w:t></w:t>
            </w:r>
          </w:p>
        </w:tc>
      </w:tr>
      <w:tr w:rsidR="00FB2A31">
        <w:trPr>
          <w:trHeight w:val="537"/>
        </w:trPr>
        <w:tc>
          <w:tcPr>
            <w:tcW w:w="2155" w:type="dxa"/>
            <w:shd w:val="clear" w:color="auto" w:fill="5D8B92"/>
          </w:tcPr>
          <w:p w:rsidR="00FB2A31" w:rsidRDefault="00EF0F9A">
            <w:pPr>
              <w:pStyle w:val="TableParagraph"/>
              <w:spacing w:line="268" w:lineRule="exact"/>
              <w:ind w:left="107"/>
              <w:rPr>
                <w:rFonts w:ascii="Calibri"/>
              </w:rPr>
            </w:pPr>
            <w:r>
              <w:rPr>
                <w:rFonts w:ascii="Calibri"/>
                <w:color w:val="FFFFFF"/>
              </w:rPr>
              <w:t>Meeting Reference</w:t>
            </w:r>
          </w:p>
          <w:p w:rsidR="00FB2A31" w:rsidRDefault="00EF0F9A">
            <w:pPr>
              <w:pStyle w:val="TableParagraph"/>
              <w:spacing w:line="249" w:lineRule="exact"/>
              <w:ind w:left="107"/>
              <w:rPr>
                <w:rFonts w:ascii="Calibri"/>
              </w:rPr>
            </w:pPr>
            <w:r>
              <w:rPr>
                <w:rFonts w:ascii="Calibri"/>
                <w:color w:val="FFFFFF"/>
              </w:rPr>
              <w:t>Materials</w:t>
            </w:r>
          </w:p>
        </w:tc>
        <w:tc>
          <w:tcPr>
            <w:tcW w:w="7197" w:type="dxa"/>
          </w:tcPr>
          <w:p w:rsidR="00FB2A31" w:rsidRDefault="00EF0F9A">
            <w:pPr>
              <w:pStyle w:val="TableParagraph"/>
              <w:spacing w:before="1"/>
              <w:ind w:left="108"/>
              <w:rPr>
                <w:sz w:val="20"/>
              </w:rPr>
            </w:pPr>
            <w:r>
              <w:rPr>
                <w:sz w:val="20"/>
              </w:rPr>
              <w:t>n/a</w:t>
            </w:r>
          </w:p>
        </w:tc>
      </w:tr>
    </w:tbl>
    <w:p w:rsidR="00FB2A31" w:rsidRDefault="00FB2A31">
      <w:pPr>
        <w:pStyle w:val="BodyText"/>
        <w:spacing w:before="9"/>
        <w:rPr>
          <w:sz w:val="36"/>
        </w:rPr>
      </w:pPr>
    </w:p>
    <w:p w:rsidR="007A3B25" w:rsidRDefault="007A3B25">
      <w:pPr>
        <w:pStyle w:val="BodyText"/>
        <w:spacing w:before="9"/>
        <w:rPr>
          <w:sz w:val="36"/>
        </w:rPr>
      </w:pPr>
    </w:p>
    <w:p w:rsidR="007A3B25" w:rsidRDefault="007A3B25">
      <w:pPr>
        <w:pStyle w:val="BodyText"/>
        <w:spacing w:before="9"/>
        <w:rPr>
          <w:sz w:val="36"/>
        </w:rPr>
      </w:pPr>
    </w:p>
    <w:p w:rsidR="007A3B25" w:rsidRDefault="007A3B25">
      <w:pPr>
        <w:pStyle w:val="BodyText"/>
        <w:spacing w:before="9"/>
        <w:rPr>
          <w:sz w:val="36"/>
        </w:rPr>
      </w:pPr>
    </w:p>
    <w:p w:rsidR="00FB2A31" w:rsidRDefault="00EF0F9A">
      <w:pPr>
        <w:pStyle w:val="BodyText"/>
        <w:ind w:left="100"/>
      </w:pPr>
      <w:r>
        <w:t>STATUS REPORT ON ACTION ITEMS</w:t>
      </w:r>
    </w:p>
    <w:p w:rsidR="00FB2A31" w:rsidRDefault="00FB2A31">
      <w:pPr>
        <w:pStyle w:val="BodyText"/>
        <w:spacing w:before="10"/>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3889"/>
        <w:gridCol w:w="1529"/>
        <w:gridCol w:w="2164"/>
      </w:tblGrid>
      <w:tr w:rsidR="00FB2A31">
        <w:trPr>
          <w:trHeight w:val="428"/>
        </w:trPr>
        <w:tc>
          <w:tcPr>
            <w:tcW w:w="1778" w:type="dxa"/>
            <w:tcBorders>
              <w:bottom w:val="single" w:sz="12" w:space="0" w:color="000000"/>
            </w:tcBorders>
            <w:shd w:val="clear" w:color="auto" w:fill="5D8B92"/>
          </w:tcPr>
          <w:p w:rsidR="00FB2A31" w:rsidRDefault="00EF0F9A">
            <w:pPr>
              <w:pStyle w:val="TableParagraph"/>
              <w:spacing w:before="80"/>
              <w:ind w:left="107"/>
              <w:rPr>
                <w:rFonts w:ascii="Calibri"/>
                <w:b/>
              </w:rPr>
            </w:pPr>
            <w:r>
              <w:rPr>
                <w:rFonts w:ascii="Calibri"/>
                <w:b/>
                <w:color w:val="FFFFFF"/>
              </w:rPr>
              <w:t>Date Assigned</w:t>
            </w:r>
          </w:p>
        </w:tc>
        <w:tc>
          <w:tcPr>
            <w:tcW w:w="3889" w:type="dxa"/>
            <w:tcBorders>
              <w:bottom w:val="single" w:sz="12" w:space="0" w:color="000000"/>
            </w:tcBorders>
            <w:shd w:val="clear" w:color="auto" w:fill="5D8B92"/>
          </w:tcPr>
          <w:p w:rsidR="00FB2A31" w:rsidRDefault="00EF0F9A">
            <w:pPr>
              <w:pStyle w:val="TableParagraph"/>
              <w:spacing w:before="80"/>
              <w:ind w:left="108"/>
              <w:rPr>
                <w:rFonts w:ascii="Calibri"/>
                <w:b/>
              </w:rPr>
            </w:pPr>
            <w:r>
              <w:rPr>
                <w:rFonts w:ascii="Calibri"/>
                <w:b/>
                <w:color w:val="FFFFFF"/>
              </w:rPr>
              <w:t>Item for Follow Up / Action</w:t>
            </w:r>
          </w:p>
        </w:tc>
        <w:tc>
          <w:tcPr>
            <w:tcW w:w="1529" w:type="dxa"/>
            <w:tcBorders>
              <w:bottom w:val="single" w:sz="12" w:space="0" w:color="000000"/>
            </w:tcBorders>
            <w:shd w:val="clear" w:color="auto" w:fill="5D8B92"/>
          </w:tcPr>
          <w:p w:rsidR="00FB2A31" w:rsidRDefault="00EF0F9A">
            <w:pPr>
              <w:pStyle w:val="TableParagraph"/>
              <w:spacing w:before="80"/>
              <w:rPr>
                <w:rFonts w:ascii="Calibri"/>
                <w:b/>
              </w:rPr>
            </w:pPr>
            <w:r>
              <w:rPr>
                <w:rFonts w:ascii="Calibri"/>
                <w:b/>
                <w:color w:val="FFFFFF"/>
              </w:rPr>
              <w:t>Assigned To</w:t>
            </w:r>
          </w:p>
        </w:tc>
        <w:tc>
          <w:tcPr>
            <w:tcW w:w="2164" w:type="dxa"/>
            <w:tcBorders>
              <w:bottom w:val="single" w:sz="12" w:space="0" w:color="000000"/>
            </w:tcBorders>
            <w:shd w:val="clear" w:color="auto" w:fill="5D8B92"/>
          </w:tcPr>
          <w:p w:rsidR="00FB2A31" w:rsidRDefault="00EF0F9A">
            <w:pPr>
              <w:pStyle w:val="TableParagraph"/>
              <w:spacing w:before="80"/>
              <w:ind w:left="108"/>
              <w:rPr>
                <w:rFonts w:ascii="Calibri"/>
                <w:b/>
              </w:rPr>
            </w:pPr>
            <w:r>
              <w:rPr>
                <w:rFonts w:ascii="Calibri"/>
                <w:b/>
                <w:color w:val="FFFFFF"/>
              </w:rPr>
              <w:t>Status Update</w:t>
            </w:r>
          </w:p>
        </w:tc>
      </w:tr>
      <w:tr w:rsidR="003924DD">
        <w:trPr>
          <w:trHeight w:val="648"/>
        </w:trPr>
        <w:tc>
          <w:tcPr>
            <w:tcW w:w="1778" w:type="dxa"/>
            <w:tcBorders>
              <w:top w:val="nil"/>
              <w:bottom w:val="nil"/>
            </w:tcBorders>
          </w:tcPr>
          <w:p w:rsidR="003924DD" w:rsidRPr="003924DD" w:rsidRDefault="003924DD" w:rsidP="003924DD">
            <w:pPr>
              <w:pStyle w:val="Default"/>
              <w:jc w:val="center"/>
              <w:rPr>
                <w:rFonts w:asciiTheme="minorHAnsi" w:hAnsiTheme="minorHAnsi" w:cstheme="minorHAnsi"/>
                <w:bCs/>
                <w:color w:val="auto"/>
                <w:sz w:val="20"/>
                <w:szCs w:val="20"/>
              </w:rPr>
            </w:pPr>
            <w:r w:rsidRPr="003924DD">
              <w:rPr>
                <w:rFonts w:asciiTheme="minorHAnsi" w:hAnsiTheme="minorHAnsi" w:cstheme="minorHAnsi"/>
                <w:bCs/>
                <w:color w:val="auto"/>
                <w:sz w:val="20"/>
                <w:szCs w:val="20"/>
              </w:rPr>
              <w:t>November 6</w:t>
            </w:r>
            <w:r w:rsidRPr="003924DD">
              <w:rPr>
                <w:rFonts w:asciiTheme="minorHAnsi" w:hAnsiTheme="minorHAnsi" w:cstheme="minorHAnsi"/>
                <w:bCs/>
                <w:color w:val="auto"/>
                <w:sz w:val="20"/>
                <w:szCs w:val="20"/>
                <w:vertAlign w:val="superscript"/>
              </w:rPr>
              <w:t>th</w:t>
            </w:r>
            <w:r w:rsidRPr="003924DD">
              <w:rPr>
                <w:rFonts w:asciiTheme="minorHAnsi" w:hAnsiTheme="minorHAnsi" w:cstheme="minorHAnsi"/>
                <w:bCs/>
                <w:color w:val="auto"/>
                <w:sz w:val="20"/>
                <w:szCs w:val="20"/>
              </w:rPr>
              <w:t xml:space="preserve"> 2019</w:t>
            </w:r>
          </w:p>
        </w:tc>
        <w:tc>
          <w:tcPr>
            <w:tcW w:w="3889" w:type="dxa"/>
            <w:tcBorders>
              <w:top w:val="nil"/>
              <w:bottom w:val="nil"/>
            </w:tcBorders>
          </w:tcPr>
          <w:p w:rsidR="003924DD" w:rsidRPr="003924DD" w:rsidRDefault="003924DD" w:rsidP="003924DD">
            <w:pPr>
              <w:pStyle w:val="Default"/>
              <w:ind w:left="90"/>
              <w:rPr>
                <w:rFonts w:asciiTheme="minorHAnsi" w:hAnsiTheme="minorHAnsi" w:cstheme="minorHAnsi"/>
                <w:color w:val="auto"/>
                <w:sz w:val="20"/>
                <w:szCs w:val="20"/>
              </w:rPr>
            </w:pPr>
            <w:r w:rsidRPr="003924DD">
              <w:rPr>
                <w:rFonts w:asciiTheme="minorHAnsi" w:hAnsiTheme="minorHAnsi" w:cstheme="minorHAnsi"/>
                <w:color w:val="auto"/>
                <w:sz w:val="20"/>
                <w:szCs w:val="20"/>
              </w:rPr>
              <w:t xml:space="preserve">Correct Section 11 of the Partnership Agreement Project Sheet </w:t>
            </w:r>
          </w:p>
        </w:tc>
        <w:tc>
          <w:tcPr>
            <w:tcW w:w="1529" w:type="dxa"/>
            <w:tcBorders>
              <w:top w:val="nil"/>
              <w:bottom w:val="nil"/>
            </w:tcBorders>
          </w:tcPr>
          <w:p w:rsidR="003924DD" w:rsidRPr="003924DD" w:rsidRDefault="003924DD" w:rsidP="003924DD">
            <w:pPr>
              <w:spacing w:before="80" w:after="80"/>
              <w:jc w:val="center"/>
              <w:rPr>
                <w:rFonts w:asciiTheme="minorHAnsi" w:hAnsiTheme="minorHAnsi" w:cstheme="minorHAnsi"/>
                <w:sz w:val="20"/>
                <w:szCs w:val="20"/>
              </w:rPr>
            </w:pPr>
            <w:r w:rsidRPr="003924DD">
              <w:rPr>
                <w:rFonts w:asciiTheme="minorHAnsi" w:hAnsiTheme="minorHAnsi" w:cstheme="minorHAnsi"/>
                <w:sz w:val="20"/>
                <w:szCs w:val="20"/>
              </w:rPr>
              <w:t>Joelle Scheck</w:t>
            </w:r>
          </w:p>
        </w:tc>
        <w:tc>
          <w:tcPr>
            <w:tcW w:w="2164" w:type="dxa"/>
            <w:tcBorders>
              <w:top w:val="nil"/>
              <w:bottom w:val="nil"/>
            </w:tcBorders>
          </w:tcPr>
          <w:p w:rsidR="003924DD" w:rsidRPr="003924DD" w:rsidRDefault="003924DD" w:rsidP="003924DD">
            <w:pPr>
              <w:spacing w:before="80" w:after="80"/>
              <w:jc w:val="center"/>
              <w:rPr>
                <w:rFonts w:asciiTheme="minorHAnsi" w:hAnsiTheme="minorHAnsi" w:cstheme="minorHAnsi"/>
                <w:sz w:val="20"/>
                <w:szCs w:val="20"/>
              </w:rPr>
            </w:pPr>
            <w:r>
              <w:rPr>
                <w:rFonts w:asciiTheme="minorHAnsi" w:hAnsiTheme="minorHAnsi" w:cstheme="minorHAnsi"/>
                <w:sz w:val="20"/>
                <w:szCs w:val="20"/>
              </w:rPr>
              <w:t>C</w:t>
            </w:r>
            <w:r w:rsidRPr="003924DD">
              <w:rPr>
                <w:rFonts w:asciiTheme="minorHAnsi" w:hAnsiTheme="minorHAnsi" w:cstheme="minorHAnsi"/>
                <w:sz w:val="20"/>
                <w:szCs w:val="20"/>
              </w:rPr>
              <w:t>omplete</w:t>
            </w:r>
            <w:r>
              <w:rPr>
                <w:rFonts w:asciiTheme="minorHAnsi" w:hAnsiTheme="minorHAnsi" w:cstheme="minorHAnsi"/>
                <w:sz w:val="20"/>
                <w:szCs w:val="20"/>
              </w:rPr>
              <w:t xml:space="preserve"> Jan 22</w:t>
            </w:r>
          </w:p>
        </w:tc>
      </w:tr>
      <w:tr w:rsidR="003924DD">
        <w:trPr>
          <w:trHeight w:val="648"/>
        </w:trPr>
        <w:tc>
          <w:tcPr>
            <w:tcW w:w="1778" w:type="dxa"/>
            <w:tcBorders>
              <w:top w:val="nil"/>
              <w:bottom w:val="nil"/>
            </w:tcBorders>
          </w:tcPr>
          <w:p w:rsidR="003924DD" w:rsidRPr="003924DD" w:rsidRDefault="003924DD" w:rsidP="003924DD">
            <w:pPr>
              <w:pStyle w:val="Default"/>
              <w:jc w:val="center"/>
              <w:rPr>
                <w:rFonts w:asciiTheme="minorHAnsi" w:hAnsiTheme="minorHAnsi" w:cstheme="minorHAnsi"/>
                <w:bCs/>
                <w:color w:val="auto"/>
                <w:sz w:val="20"/>
                <w:szCs w:val="20"/>
              </w:rPr>
            </w:pPr>
            <w:r w:rsidRPr="003924DD">
              <w:rPr>
                <w:rFonts w:asciiTheme="minorHAnsi" w:hAnsiTheme="minorHAnsi" w:cstheme="minorHAnsi"/>
                <w:bCs/>
                <w:color w:val="auto"/>
                <w:sz w:val="20"/>
                <w:szCs w:val="20"/>
              </w:rPr>
              <w:t>November 6</w:t>
            </w:r>
            <w:r w:rsidRPr="003924DD">
              <w:rPr>
                <w:rFonts w:asciiTheme="minorHAnsi" w:hAnsiTheme="minorHAnsi" w:cstheme="minorHAnsi"/>
                <w:bCs/>
                <w:color w:val="auto"/>
                <w:sz w:val="20"/>
                <w:szCs w:val="20"/>
                <w:vertAlign w:val="superscript"/>
              </w:rPr>
              <w:t>th</w:t>
            </w:r>
            <w:r w:rsidRPr="003924DD">
              <w:rPr>
                <w:rFonts w:asciiTheme="minorHAnsi" w:hAnsiTheme="minorHAnsi" w:cstheme="minorHAnsi"/>
                <w:bCs/>
                <w:color w:val="auto"/>
                <w:sz w:val="20"/>
                <w:szCs w:val="20"/>
              </w:rPr>
              <w:t xml:space="preserve"> 2019</w:t>
            </w:r>
          </w:p>
        </w:tc>
        <w:tc>
          <w:tcPr>
            <w:tcW w:w="3889" w:type="dxa"/>
            <w:tcBorders>
              <w:top w:val="nil"/>
              <w:bottom w:val="nil"/>
            </w:tcBorders>
          </w:tcPr>
          <w:p w:rsidR="003924DD" w:rsidRPr="003924DD" w:rsidRDefault="003924DD" w:rsidP="003924DD">
            <w:pPr>
              <w:pStyle w:val="Default"/>
              <w:ind w:left="90"/>
              <w:rPr>
                <w:rFonts w:asciiTheme="minorHAnsi" w:hAnsiTheme="minorHAnsi" w:cstheme="minorHAnsi"/>
                <w:color w:val="auto"/>
                <w:sz w:val="20"/>
                <w:szCs w:val="20"/>
              </w:rPr>
            </w:pPr>
            <w:r w:rsidRPr="003924DD">
              <w:rPr>
                <w:rFonts w:asciiTheme="minorHAnsi" w:hAnsiTheme="minorHAnsi" w:cstheme="minorHAnsi"/>
                <w:color w:val="auto"/>
                <w:sz w:val="20"/>
                <w:szCs w:val="20"/>
              </w:rPr>
              <w:t>Confirm PRRD participation and provide lists of participants on the leadership table</w:t>
            </w:r>
            <w:r>
              <w:rPr>
                <w:rFonts w:asciiTheme="minorHAnsi" w:hAnsiTheme="minorHAnsi" w:cstheme="minorHAnsi"/>
                <w:color w:val="auto"/>
                <w:sz w:val="20"/>
                <w:szCs w:val="20"/>
              </w:rPr>
              <w:br/>
            </w:r>
            <w:r>
              <w:rPr>
                <w:rFonts w:asciiTheme="minorHAnsi" w:hAnsiTheme="minorHAnsi" w:cstheme="minorHAnsi"/>
                <w:color w:val="auto"/>
                <w:sz w:val="20"/>
                <w:szCs w:val="20"/>
              </w:rPr>
              <w:br/>
            </w:r>
            <w:r w:rsidRPr="003924DD">
              <w:rPr>
                <w:rFonts w:asciiTheme="minorHAnsi" w:hAnsiTheme="minorHAnsi" w:cstheme="minorHAnsi"/>
                <w:color w:val="5D8B92"/>
                <w:sz w:val="20"/>
                <w:szCs w:val="20"/>
              </w:rPr>
              <w:t>see attached</w:t>
            </w:r>
          </w:p>
        </w:tc>
        <w:tc>
          <w:tcPr>
            <w:tcW w:w="1529" w:type="dxa"/>
            <w:tcBorders>
              <w:top w:val="nil"/>
              <w:bottom w:val="nil"/>
            </w:tcBorders>
          </w:tcPr>
          <w:p w:rsidR="003924DD" w:rsidRPr="003924DD" w:rsidRDefault="003924DD" w:rsidP="003924DD">
            <w:pPr>
              <w:spacing w:before="80" w:after="80"/>
              <w:jc w:val="center"/>
              <w:rPr>
                <w:rFonts w:asciiTheme="minorHAnsi" w:hAnsiTheme="minorHAnsi" w:cstheme="minorHAnsi"/>
                <w:sz w:val="20"/>
                <w:szCs w:val="20"/>
              </w:rPr>
            </w:pPr>
            <w:r w:rsidRPr="003924DD">
              <w:rPr>
                <w:rFonts w:asciiTheme="minorHAnsi" w:hAnsiTheme="minorHAnsi" w:cstheme="minorHAnsi"/>
                <w:sz w:val="20"/>
                <w:szCs w:val="20"/>
              </w:rPr>
              <w:t>Joelle Scheck</w:t>
            </w:r>
          </w:p>
        </w:tc>
        <w:tc>
          <w:tcPr>
            <w:tcW w:w="2164" w:type="dxa"/>
            <w:tcBorders>
              <w:top w:val="nil"/>
              <w:bottom w:val="nil"/>
            </w:tcBorders>
          </w:tcPr>
          <w:p w:rsidR="003924DD" w:rsidRPr="003924DD" w:rsidRDefault="003924DD" w:rsidP="003924DD">
            <w:pPr>
              <w:spacing w:before="80" w:after="80"/>
              <w:jc w:val="center"/>
              <w:rPr>
                <w:rFonts w:asciiTheme="minorHAnsi" w:hAnsiTheme="minorHAnsi" w:cstheme="minorHAnsi"/>
                <w:sz w:val="20"/>
                <w:szCs w:val="20"/>
              </w:rPr>
            </w:pPr>
            <w:r>
              <w:rPr>
                <w:rFonts w:asciiTheme="minorHAnsi" w:hAnsiTheme="minorHAnsi" w:cstheme="minorHAnsi"/>
                <w:sz w:val="20"/>
                <w:szCs w:val="20"/>
              </w:rPr>
              <w:t>Complete</w:t>
            </w:r>
          </w:p>
        </w:tc>
      </w:tr>
      <w:tr w:rsidR="00FB2A31">
        <w:trPr>
          <w:trHeight w:val="648"/>
        </w:trPr>
        <w:tc>
          <w:tcPr>
            <w:tcW w:w="1778" w:type="dxa"/>
            <w:tcBorders>
              <w:top w:val="nil"/>
              <w:bottom w:val="nil"/>
            </w:tcBorders>
          </w:tcPr>
          <w:p w:rsidR="00FB2A31" w:rsidRPr="003924DD" w:rsidRDefault="00EF0F9A">
            <w:pPr>
              <w:pStyle w:val="TableParagraph"/>
              <w:spacing w:before="21"/>
              <w:ind w:left="107"/>
              <w:rPr>
                <w:rFonts w:asciiTheme="minorHAnsi" w:hAnsiTheme="minorHAnsi" w:cstheme="minorHAnsi"/>
                <w:sz w:val="20"/>
              </w:rPr>
            </w:pPr>
            <w:r w:rsidRPr="003924DD">
              <w:rPr>
                <w:rFonts w:asciiTheme="minorHAnsi" w:hAnsiTheme="minorHAnsi" w:cstheme="minorHAnsi"/>
                <w:sz w:val="20"/>
              </w:rPr>
              <w:t>September 4, 2019</w:t>
            </w:r>
          </w:p>
        </w:tc>
        <w:tc>
          <w:tcPr>
            <w:tcW w:w="3889" w:type="dxa"/>
            <w:tcBorders>
              <w:top w:val="nil"/>
              <w:bottom w:val="nil"/>
            </w:tcBorders>
          </w:tcPr>
          <w:p w:rsidR="00FB2A31" w:rsidRPr="003924DD" w:rsidRDefault="00EF0F9A">
            <w:pPr>
              <w:pStyle w:val="TableParagraph"/>
              <w:spacing w:before="21"/>
              <w:ind w:left="108"/>
              <w:rPr>
                <w:rFonts w:asciiTheme="minorHAnsi" w:hAnsiTheme="minorHAnsi" w:cstheme="minorHAnsi"/>
                <w:sz w:val="20"/>
              </w:rPr>
            </w:pPr>
            <w:r w:rsidRPr="003924DD">
              <w:rPr>
                <w:rFonts w:asciiTheme="minorHAnsi" w:hAnsiTheme="minorHAnsi" w:cstheme="minorHAnsi"/>
                <w:sz w:val="20"/>
              </w:rPr>
              <w:t>Share Big River Analytics SEA report.</w:t>
            </w:r>
          </w:p>
        </w:tc>
        <w:tc>
          <w:tcPr>
            <w:tcW w:w="1529" w:type="dxa"/>
            <w:tcBorders>
              <w:top w:val="nil"/>
              <w:bottom w:val="nil"/>
            </w:tcBorders>
          </w:tcPr>
          <w:p w:rsidR="00FB2A31" w:rsidRPr="003924DD" w:rsidRDefault="00EF0F9A" w:rsidP="003924DD">
            <w:pPr>
              <w:pStyle w:val="TableParagraph"/>
              <w:spacing w:before="100"/>
              <w:jc w:val="center"/>
              <w:rPr>
                <w:rFonts w:asciiTheme="minorHAnsi" w:hAnsiTheme="minorHAnsi" w:cstheme="minorHAnsi"/>
                <w:sz w:val="20"/>
              </w:rPr>
            </w:pPr>
            <w:r w:rsidRPr="003924DD">
              <w:rPr>
                <w:rFonts w:asciiTheme="minorHAnsi" w:hAnsiTheme="minorHAnsi" w:cstheme="minorHAnsi"/>
                <w:sz w:val="20"/>
              </w:rPr>
              <w:t>FLNRORD,</w:t>
            </w:r>
          </w:p>
          <w:p w:rsidR="00FB2A31" w:rsidRPr="003924DD" w:rsidRDefault="00EF0F9A" w:rsidP="003924DD">
            <w:pPr>
              <w:pStyle w:val="TableParagraph"/>
              <w:spacing w:before="1"/>
              <w:jc w:val="center"/>
              <w:rPr>
                <w:rFonts w:asciiTheme="minorHAnsi" w:hAnsiTheme="minorHAnsi" w:cstheme="minorHAnsi"/>
                <w:sz w:val="20"/>
              </w:rPr>
            </w:pPr>
            <w:r w:rsidRPr="003924DD">
              <w:rPr>
                <w:rFonts w:asciiTheme="minorHAnsi" w:hAnsiTheme="minorHAnsi" w:cstheme="minorHAnsi"/>
                <w:sz w:val="20"/>
              </w:rPr>
              <w:t>Joelle</w:t>
            </w:r>
          </w:p>
        </w:tc>
        <w:tc>
          <w:tcPr>
            <w:tcW w:w="2164" w:type="dxa"/>
            <w:tcBorders>
              <w:top w:val="nil"/>
              <w:bottom w:val="nil"/>
            </w:tcBorders>
          </w:tcPr>
          <w:p w:rsidR="00FB2A31" w:rsidRPr="003924DD" w:rsidRDefault="00EF0F9A" w:rsidP="003924DD">
            <w:pPr>
              <w:pStyle w:val="TableParagraph"/>
              <w:spacing w:before="100"/>
              <w:ind w:left="108"/>
              <w:jc w:val="center"/>
              <w:rPr>
                <w:rFonts w:asciiTheme="minorHAnsi" w:hAnsiTheme="minorHAnsi" w:cstheme="minorHAnsi"/>
                <w:sz w:val="20"/>
              </w:rPr>
            </w:pPr>
            <w:r w:rsidRPr="003924DD">
              <w:rPr>
                <w:rFonts w:asciiTheme="minorHAnsi" w:hAnsiTheme="minorHAnsi" w:cstheme="minorHAnsi"/>
                <w:sz w:val="20"/>
              </w:rPr>
              <w:t>Not complete</w:t>
            </w:r>
          </w:p>
        </w:tc>
      </w:tr>
      <w:tr w:rsidR="00FB2A31">
        <w:trPr>
          <w:trHeight w:val="1016"/>
        </w:trPr>
        <w:tc>
          <w:tcPr>
            <w:tcW w:w="1778" w:type="dxa"/>
            <w:tcBorders>
              <w:top w:val="nil"/>
              <w:bottom w:val="nil"/>
            </w:tcBorders>
          </w:tcPr>
          <w:p w:rsidR="00FB2A31" w:rsidRDefault="00FB2A31">
            <w:pPr>
              <w:pStyle w:val="TableParagraph"/>
              <w:ind w:left="0"/>
              <w:rPr>
                <w:rFonts w:ascii="Times New Roman"/>
                <w:sz w:val="20"/>
              </w:rPr>
            </w:pPr>
          </w:p>
        </w:tc>
        <w:tc>
          <w:tcPr>
            <w:tcW w:w="3889" w:type="dxa"/>
            <w:tcBorders>
              <w:top w:val="nil"/>
              <w:bottom w:val="nil"/>
            </w:tcBorders>
          </w:tcPr>
          <w:p w:rsidR="00FB2A31" w:rsidRDefault="00EF0F9A">
            <w:pPr>
              <w:pStyle w:val="TableParagraph"/>
              <w:spacing w:before="21"/>
              <w:ind w:left="108"/>
              <w:rPr>
                <w:rFonts w:ascii="Calibri"/>
                <w:sz w:val="20"/>
              </w:rPr>
            </w:pPr>
            <w:r>
              <w:rPr>
                <w:rFonts w:ascii="Calibri"/>
                <w:sz w:val="20"/>
              </w:rPr>
              <w:t>Share 2019 Central Group Monitoring Report</w:t>
            </w:r>
          </w:p>
          <w:p w:rsidR="00FB2A31" w:rsidRDefault="00FB2A31">
            <w:pPr>
              <w:pStyle w:val="TableParagraph"/>
              <w:spacing w:before="10"/>
              <w:ind w:left="0"/>
              <w:rPr>
                <w:rFonts w:ascii="Century Gothic"/>
                <w:b/>
                <w:sz w:val="19"/>
              </w:rPr>
            </w:pPr>
          </w:p>
          <w:p w:rsidR="00FB2A31" w:rsidRDefault="00EF0F9A">
            <w:pPr>
              <w:pStyle w:val="TableParagraph"/>
              <w:spacing w:line="240" w:lineRule="atLeast"/>
              <w:ind w:left="108"/>
              <w:rPr>
                <w:rFonts w:ascii="Calibri"/>
                <w:sz w:val="20"/>
              </w:rPr>
            </w:pPr>
            <w:r w:rsidRPr="003924DD">
              <w:rPr>
                <w:rFonts w:ascii="Calibri"/>
                <w:color w:val="5D8B92"/>
                <w:sz w:val="20"/>
              </w:rPr>
              <w:t xml:space="preserve">Hard copy </w:t>
            </w:r>
            <w:proofErr w:type="gramStart"/>
            <w:r w:rsidRPr="003924DD">
              <w:rPr>
                <w:rFonts w:ascii="Calibri"/>
                <w:color w:val="5D8B92"/>
                <w:sz w:val="20"/>
              </w:rPr>
              <w:t>report</w:t>
            </w:r>
            <w:proofErr w:type="gramEnd"/>
            <w:r w:rsidRPr="003924DD">
              <w:rPr>
                <w:rFonts w:ascii="Calibri"/>
                <w:color w:val="5D8B92"/>
                <w:sz w:val="20"/>
              </w:rPr>
              <w:t xml:space="preserve"> available at Nov 6 Roundtable</w:t>
            </w:r>
            <w:r>
              <w:rPr>
                <w:rFonts w:ascii="Calibri"/>
                <w:color w:val="5D8B92"/>
                <w:sz w:val="20"/>
              </w:rPr>
              <w:t xml:space="preserve"> and by email upon request</w:t>
            </w:r>
          </w:p>
        </w:tc>
        <w:tc>
          <w:tcPr>
            <w:tcW w:w="1529" w:type="dxa"/>
            <w:tcBorders>
              <w:top w:val="nil"/>
              <w:bottom w:val="nil"/>
            </w:tcBorders>
          </w:tcPr>
          <w:p w:rsidR="00FB2A31" w:rsidRDefault="00EF0F9A" w:rsidP="003924DD">
            <w:pPr>
              <w:pStyle w:val="TableParagraph"/>
              <w:spacing w:before="101"/>
              <w:jc w:val="center"/>
              <w:rPr>
                <w:rFonts w:ascii="Calibri"/>
                <w:sz w:val="20"/>
              </w:rPr>
            </w:pPr>
            <w:r>
              <w:rPr>
                <w:rFonts w:ascii="Calibri"/>
                <w:sz w:val="20"/>
              </w:rPr>
              <w:t>FLNRORD,</w:t>
            </w:r>
          </w:p>
          <w:p w:rsidR="00FB2A31" w:rsidRDefault="00EF0F9A" w:rsidP="003924DD">
            <w:pPr>
              <w:pStyle w:val="TableParagraph"/>
              <w:jc w:val="center"/>
              <w:rPr>
                <w:rFonts w:ascii="Calibri"/>
                <w:sz w:val="20"/>
              </w:rPr>
            </w:pPr>
            <w:r>
              <w:rPr>
                <w:rFonts w:ascii="Calibri"/>
                <w:sz w:val="20"/>
              </w:rPr>
              <w:t>Joelle</w:t>
            </w:r>
          </w:p>
        </w:tc>
        <w:tc>
          <w:tcPr>
            <w:tcW w:w="2164" w:type="dxa"/>
            <w:tcBorders>
              <w:top w:val="nil"/>
              <w:bottom w:val="nil"/>
            </w:tcBorders>
          </w:tcPr>
          <w:p w:rsidR="00FB2A31" w:rsidRDefault="00EF0F9A" w:rsidP="003924DD">
            <w:pPr>
              <w:pStyle w:val="TableParagraph"/>
              <w:spacing w:before="101"/>
              <w:ind w:left="108"/>
              <w:jc w:val="center"/>
              <w:rPr>
                <w:rFonts w:ascii="Calibri"/>
                <w:sz w:val="20"/>
              </w:rPr>
            </w:pPr>
            <w:r>
              <w:rPr>
                <w:rFonts w:ascii="Calibri"/>
                <w:sz w:val="20"/>
              </w:rPr>
              <w:t>Complete Oct 29</w:t>
            </w:r>
          </w:p>
        </w:tc>
      </w:tr>
      <w:tr w:rsidR="00FB2A31">
        <w:trPr>
          <w:trHeight w:val="1201"/>
        </w:trPr>
        <w:tc>
          <w:tcPr>
            <w:tcW w:w="1778" w:type="dxa"/>
            <w:tcBorders>
              <w:top w:val="nil"/>
              <w:bottom w:val="nil"/>
            </w:tcBorders>
          </w:tcPr>
          <w:p w:rsidR="00FB2A31" w:rsidRDefault="00FB2A31">
            <w:pPr>
              <w:pStyle w:val="TableParagraph"/>
              <w:ind w:left="0"/>
              <w:rPr>
                <w:rFonts w:ascii="Times New Roman"/>
                <w:sz w:val="20"/>
              </w:rPr>
            </w:pPr>
          </w:p>
        </w:tc>
        <w:tc>
          <w:tcPr>
            <w:tcW w:w="3889" w:type="dxa"/>
            <w:tcBorders>
              <w:top w:val="nil"/>
              <w:bottom w:val="nil"/>
            </w:tcBorders>
          </w:tcPr>
          <w:p w:rsidR="00FB2A31" w:rsidRDefault="00EF0F9A">
            <w:pPr>
              <w:pStyle w:val="TableParagraph"/>
              <w:spacing w:line="226" w:lineRule="exact"/>
              <w:ind w:left="108"/>
              <w:rPr>
                <w:rFonts w:ascii="Calibri"/>
                <w:sz w:val="20"/>
              </w:rPr>
            </w:pPr>
            <w:r>
              <w:rPr>
                <w:rFonts w:ascii="Calibri"/>
                <w:color w:val="5D8B92"/>
                <w:sz w:val="20"/>
              </w:rPr>
              <w:t>Provide the link to SARA Section 80</w:t>
            </w:r>
          </w:p>
          <w:p w:rsidR="00FB2A31" w:rsidRDefault="00FB2A31">
            <w:pPr>
              <w:pStyle w:val="TableParagraph"/>
              <w:spacing w:before="10"/>
              <w:ind w:left="0"/>
              <w:rPr>
                <w:rFonts w:ascii="Century Gothic"/>
                <w:b/>
                <w:sz w:val="19"/>
              </w:rPr>
            </w:pPr>
          </w:p>
          <w:p w:rsidR="00FB2A31" w:rsidRDefault="00B80852">
            <w:pPr>
              <w:pStyle w:val="TableParagraph"/>
              <w:spacing w:line="240" w:lineRule="atLeast"/>
              <w:ind w:left="108" w:right="112"/>
              <w:rPr>
                <w:rFonts w:ascii="Calibri"/>
                <w:sz w:val="20"/>
              </w:rPr>
            </w:pPr>
            <w:hyperlink r:id="rId14">
              <w:r w:rsidR="00EF0F9A">
                <w:rPr>
                  <w:rFonts w:ascii="Calibri"/>
                  <w:color w:val="0462C1"/>
                  <w:sz w:val="20"/>
                  <w:u w:val="single" w:color="0462C1"/>
                </w:rPr>
                <w:t>https://laws-lois.justice.gc.ca/eng/acts/s-</w:t>
              </w:r>
            </w:hyperlink>
            <w:r w:rsidR="00EF0F9A">
              <w:rPr>
                <w:rFonts w:ascii="Calibri"/>
                <w:color w:val="0462C1"/>
                <w:sz w:val="20"/>
              </w:rPr>
              <w:t xml:space="preserve"> </w:t>
            </w:r>
            <w:hyperlink r:id="rId15">
              <w:r w:rsidR="00EF0F9A">
                <w:rPr>
                  <w:rFonts w:ascii="Calibri"/>
                  <w:color w:val="0462C1"/>
                  <w:sz w:val="20"/>
                  <w:u w:val="single" w:color="0462C1"/>
                </w:rPr>
                <w:t>15.3/FullText.html</w:t>
              </w:r>
              <w:r w:rsidR="00EF0F9A">
                <w:rPr>
                  <w:rFonts w:ascii="Calibri"/>
                  <w:color w:val="0462C1"/>
                  <w:sz w:val="20"/>
                </w:rPr>
                <w:t xml:space="preserve"> </w:t>
              </w:r>
            </w:hyperlink>
            <w:r w:rsidR="00EF0F9A">
              <w:rPr>
                <w:rFonts w:ascii="Calibri"/>
                <w:color w:val="5D8B92"/>
                <w:sz w:val="20"/>
              </w:rPr>
              <w:t>scroll down to Section 80, Emergency Orders</w:t>
            </w:r>
          </w:p>
        </w:tc>
        <w:tc>
          <w:tcPr>
            <w:tcW w:w="1529" w:type="dxa"/>
            <w:tcBorders>
              <w:top w:val="nil"/>
              <w:bottom w:val="nil"/>
            </w:tcBorders>
          </w:tcPr>
          <w:p w:rsidR="00FB2A31" w:rsidRDefault="00EF0F9A" w:rsidP="003924DD">
            <w:pPr>
              <w:pStyle w:val="TableParagraph"/>
              <w:spacing w:before="61"/>
              <w:jc w:val="center"/>
              <w:rPr>
                <w:rFonts w:ascii="Calibri"/>
                <w:sz w:val="20"/>
              </w:rPr>
            </w:pPr>
            <w:r>
              <w:rPr>
                <w:rFonts w:ascii="Calibri"/>
                <w:sz w:val="20"/>
              </w:rPr>
              <w:t>FLNRORD</w:t>
            </w:r>
          </w:p>
        </w:tc>
        <w:tc>
          <w:tcPr>
            <w:tcW w:w="2164" w:type="dxa"/>
            <w:tcBorders>
              <w:top w:val="nil"/>
              <w:bottom w:val="nil"/>
            </w:tcBorders>
          </w:tcPr>
          <w:p w:rsidR="00FB2A31" w:rsidRDefault="00EF0F9A" w:rsidP="003924DD">
            <w:pPr>
              <w:pStyle w:val="TableParagraph"/>
              <w:spacing w:before="61"/>
              <w:ind w:left="108"/>
              <w:jc w:val="center"/>
              <w:rPr>
                <w:rFonts w:ascii="Calibri"/>
                <w:sz w:val="20"/>
              </w:rPr>
            </w:pPr>
            <w:r>
              <w:rPr>
                <w:rFonts w:ascii="Calibri"/>
                <w:sz w:val="20"/>
              </w:rPr>
              <w:t>Complete Oct 29</w:t>
            </w:r>
          </w:p>
        </w:tc>
      </w:tr>
    </w:tbl>
    <w:p w:rsidR="00F60EC1" w:rsidRDefault="00F60EC1"/>
    <w:p w:rsidR="00B80852" w:rsidRDefault="00B80852"/>
    <w:p w:rsidR="00B80852" w:rsidRDefault="00B80852">
      <w:bookmarkStart w:id="0" w:name="_GoBack"/>
      <w:bookmarkEnd w:id="0"/>
      <w:r>
        <w:br w:type="page"/>
      </w:r>
    </w:p>
    <w:p w:rsidR="00B80852" w:rsidRDefault="00B80852" w:rsidP="00B80852">
      <w:pPr>
        <w:rPr>
          <w:lang w:val="en-US"/>
        </w:rPr>
      </w:pPr>
    </w:p>
    <w:p w:rsidR="00B80852" w:rsidRDefault="00B80852" w:rsidP="00B80852">
      <w:pPr>
        <w:pStyle w:val="Header"/>
      </w:pPr>
      <w:r>
        <w:t>Section 11 / Partnership Agreement Leadership Table</w:t>
      </w:r>
      <w:r>
        <w:br/>
        <w:t xml:space="preserve"> </w:t>
      </w:r>
    </w:p>
    <w:tbl>
      <w:tblPr>
        <w:tblW w:w="10022" w:type="dxa"/>
        <w:tblCellMar>
          <w:left w:w="0" w:type="dxa"/>
          <w:right w:w="0" w:type="dxa"/>
        </w:tblCellMar>
        <w:tblLook w:val="04A0" w:firstRow="1" w:lastRow="0" w:firstColumn="1" w:lastColumn="0" w:noHBand="0" w:noVBand="1"/>
      </w:tblPr>
      <w:tblGrid>
        <w:gridCol w:w="2694"/>
        <w:gridCol w:w="2544"/>
        <w:gridCol w:w="1845"/>
        <w:gridCol w:w="2939"/>
      </w:tblGrid>
      <w:tr w:rsidR="00B80852" w:rsidTr="00851DB0">
        <w:tc>
          <w:tcPr>
            <w:tcW w:w="2694" w:type="dxa"/>
            <w:tcBorders>
              <w:top w:val="single" w:sz="8" w:space="0" w:color="70AD47"/>
              <w:left w:val="single" w:sz="8" w:space="0" w:color="70AD47"/>
              <w:bottom w:val="single" w:sz="8" w:space="0" w:color="70AD47"/>
              <w:right w:val="nil"/>
            </w:tcBorders>
            <w:shd w:val="clear" w:color="auto" w:fill="70AD47"/>
            <w:tcMar>
              <w:top w:w="0" w:type="dxa"/>
              <w:left w:w="108" w:type="dxa"/>
              <w:bottom w:w="0" w:type="dxa"/>
              <w:right w:w="108" w:type="dxa"/>
            </w:tcMar>
            <w:hideMark/>
          </w:tcPr>
          <w:p w:rsidR="00B80852" w:rsidRPr="001D1743" w:rsidRDefault="00B80852" w:rsidP="00851DB0">
            <w:pPr>
              <w:jc w:val="center"/>
              <w:rPr>
                <w:b/>
                <w:bCs/>
                <w:color w:val="FFFFFF"/>
                <w:sz w:val="18"/>
                <w:szCs w:val="18"/>
              </w:rPr>
            </w:pPr>
            <w:proofErr w:type="gramStart"/>
            <w:r w:rsidRPr="001D1743">
              <w:rPr>
                <w:b/>
                <w:bCs/>
                <w:color w:val="FFFFFF"/>
                <w:sz w:val="18"/>
                <w:szCs w:val="18"/>
              </w:rPr>
              <w:t>Prov  +</w:t>
            </w:r>
            <w:proofErr w:type="gramEnd"/>
            <w:r w:rsidRPr="001D1743">
              <w:rPr>
                <w:b/>
                <w:bCs/>
                <w:color w:val="FFFFFF"/>
                <w:sz w:val="18"/>
                <w:szCs w:val="18"/>
              </w:rPr>
              <w:t xml:space="preserve"> Fed Government</w:t>
            </w:r>
          </w:p>
        </w:tc>
        <w:tc>
          <w:tcPr>
            <w:tcW w:w="2544"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rsidR="00B80852" w:rsidRPr="001D1743" w:rsidRDefault="00B80852" w:rsidP="00851DB0">
            <w:pPr>
              <w:jc w:val="center"/>
              <w:rPr>
                <w:b/>
                <w:bCs/>
                <w:color w:val="FFFFFF"/>
                <w:sz w:val="18"/>
                <w:szCs w:val="18"/>
              </w:rPr>
            </w:pPr>
            <w:r w:rsidRPr="001D1743">
              <w:rPr>
                <w:b/>
                <w:bCs/>
                <w:color w:val="FFFFFF"/>
                <w:sz w:val="18"/>
                <w:szCs w:val="18"/>
              </w:rPr>
              <w:t>Local Government</w:t>
            </w:r>
          </w:p>
        </w:tc>
        <w:tc>
          <w:tcPr>
            <w:tcW w:w="1845" w:type="dxa"/>
            <w:tcBorders>
              <w:top w:val="single" w:sz="8" w:space="0" w:color="70AD47"/>
              <w:left w:val="nil"/>
              <w:bottom w:val="single" w:sz="8" w:space="0" w:color="70AD47"/>
              <w:right w:val="nil"/>
            </w:tcBorders>
            <w:shd w:val="clear" w:color="auto" w:fill="70AD47"/>
            <w:tcMar>
              <w:top w:w="0" w:type="dxa"/>
              <w:left w:w="108" w:type="dxa"/>
              <w:bottom w:w="0" w:type="dxa"/>
              <w:right w:w="108" w:type="dxa"/>
            </w:tcMar>
            <w:hideMark/>
          </w:tcPr>
          <w:p w:rsidR="00B80852" w:rsidRPr="001D1743" w:rsidRDefault="00B80852" w:rsidP="00851DB0">
            <w:pPr>
              <w:jc w:val="center"/>
              <w:rPr>
                <w:b/>
                <w:bCs/>
                <w:color w:val="FFFFFF"/>
                <w:sz w:val="18"/>
                <w:szCs w:val="18"/>
              </w:rPr>
            </w:pPr>
            <w:r w:rsidRPr="001D1743">
              <w:rPr>
                <w:b/>
                <w:bCs/>
                <w:color w:val="FFFFFF"/>
                <w:sz w:val="18"/>
                <w:szCs w:val="18"/>
              </w:rPr>
              <w:t>First Nations</w:t>
            </w:r>
          </w:p>
        </w:tc>
        <w:tc>
          <w:tcPr>
            <w:tcW w:w="2939" w:type="dxa"/>
            <w:tcBorders>
              <w:top w:val="single" w:sz="8" w:space="0" w:color="70AD47"/>
              <w:left w:val="nil"/>
              <w:bottom w:val="single" w:sz="8" w:space="0" w:color="70AD47"/>
              <w:right w:val="single" w:sz="8" w:space="0" w:color="70AD47"/>
            </w:tcBorders>
            <w:shd w:val="clear" w:color="auto" w:fill="70AD47"/>
            <w:tcMar>
              <w:top w:w="0" w:type="dxa"/>
              <w:left w:w="108" w:type="dxa"/>
              <w:bottom w:w="0" w:type="dxa"/>
              <w:right w:w="108" w:type="dxa"/>
            </w:tcMar>
            <w:hideMark/>
          </w:tcPr>
          <w:p w:rsidR="00B80852" w:rsidRPr="001D1743" w:rsidRDefault="00B80852" w:rsidP="00851DB0">
            <w:pPr>
              <w:jc w:val="center"/>
              <w:rPr>
                <w:b/>
                <w:bCs/>
                <w:color w:val="FFFFFF"/>
                <w:sz w:val="18"/>
                <w:szCs w:val="18"/>
              </w:rPr>
            </w:pPr>
            <w:r w:rsidRPr="001D1743">
              <w:rPr>
                <w:b/>
                <w:bCs/>
                <w:color w:val="FFFFFF"/>
                <w:sz w:val="18"/>
                <w:szCs w:val="18"/>
              </w:rPr>
              <w:t>Industry</w:t>
            </w:r>
          </w:p>
        </w:tc>
      </w:tr>
      <w:tr w:rsidR="00B80852" w:rsidTr="00851DB0">
        <w:trPr>
          <w:trHeight w:val="736"/>
        </w:trPr>
        <w:tc>
          <w:tcPr>
            <w:tcW w:w="2694"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 xml:space="preserve">Ravi </w:t>
            </w:r>
            <w:proofErr w:type="spellStart"/>
            <w:r w:rsidRPr="001D1743">
              <w:rPr>
                <w:sz w:val="18"/>
                <w:szCs w:val="18"/>
              </w:rPr>
              <w:t>Khalon</w:t>
            </w:r>
            <w:proofErr w:type="spellEnd"/>
            <w:r w:rsidRPr="001D1743">
              <w:rPr>
                <w:sz w:val="18"/>
                <w:szCs w:val="18"/>
              </w:rPr>
              <w:t xml:space="preserve"> - Parliamentary Secretary, FNRORD</w:t>
            </w:r>
          </w:p>
        </w:tc>
        <w:tc>
          <w:tcPr>
            <w:tcW w:w="25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Keith Bertrand - Mayor, Tumbler Ridge</w:t>
            </w:r>
          </w:p>
        </w:tc>
        <w:tc>
          <w:tcPr>
            <w:tcW w:w="184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 xml:space="preserve">Ken Cameron – Chief </w:t>
            </w:r>
            <w:proofErr w:type="spellStart"/>
            <w:r w:rsidRPr="001D1743">
              <w:rPr>
                <w:sz w:val="18"/>
                <w:szCs w:val="18"/>
              </w:rPr>
              <w:t>Saulteau</w:t>
            </w:r>
            <w:proofErr w:type="spellEnd"/>
            <w:r w:rsidRPr="001D1743">
              <w:rPr>
                <w:sz w:val="18"/>
                <w:szCs w:val="18"/>
              </w:rPr>
              <w:t xml:space="preserve"> First Nation</w:t>
            </w:r>
          </w:p>
        </w:tc>
        <w:tc>
          <w:tcPr>
            <w:tcW w:w="2939"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Don Kayne - Chief Executive Officer- Canfor</w:t>
            </w:r>
          </w:p>
        </w:tc>
      </w:tr>
      <w:tr w:rsidR="00B80852" w:rsidTr="00851DB0">
        <w:trPr>
          <w:trHeight w:val="709"/>
        </w:trPr>
        <w:tc>
          <w:tcPr>
            <w:tcW w:w="2694"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 xml:space="preserve">Geoff </w:t>
            </w:r>
            <w:proofErr w:type="spellStart"/>
            <w:r w:rsidRPr="001D1743">
              <w:rPr>
                <w:sz w:val="18"/>
                <w:szCs w:val="18"/>
              </w:rPr>
              <w:t>Meggs</w:t>
            </w:r>
            <w:proofErr w:type="spellEnd"/>
            <w:r w:rsidRPr="001D1743">
              <w:rPr>
                <w:sz w:val="18"/>
                <w:szCs w:val="18"/>
              </w:rPr>
              <w:t>, Chief of Staff to the Premier</w:t>
            </w:r>
          </w:p>
        </w:tc>
        <w:tc>
          <w:tcPr>
            <w:tcW w:w="2544" w:type="dxa"/>
            <w:tcBorders>
              <w:top w:val="nil"/>
              <w:left w:val="nil"/>
              <w:bottom w:val="single" w:sz="8" w:space="0" w:color="A8D08D"/>
              <w:right w:val="single" w:sz="8" w:space="0" w:color="A8D08D"/>
            </w:tcBorders>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 xml:space="preserve">Allen </w:t>
            </w:r>
            <w:proofErr w:type="spellStart"/>
            <w:r w:rsidRPr="001D1743">
              <w:rPr>
                <w:sz w:val="18"/>
                <w:szCs w:val="18"/>
              </w:rPr>
              <w:t>Courtoreille</w:t>
            </w:r>
            <w:proofErr w:type="spellEnd"/>
            <w:r w:rsidRPr="001D1743">
              <w:rPr>
                <w:sz w:val="18"/>
                <w:szCs w:val="18"/>
              </w:rPr>
              <w:t xml:space="preserve"> - Mayor, Chetwynd</w:t>
            </w:r>
          </w:p>
        </w:tc>
        <w:tc>
          <w:tcPr>
            <w:tcW w:w="1845" w:type="dxa"/>
            <w:tcBorders>
              <w:top w:val="nil"/>
              <w:left w:val="nil"/>
              <w:bottom w:val="single" w:sz="8" w:space="0" w:color="A8D08D"/>
              <w:right w:val="single" w:sz="8" w:space="0" w:color="A8D08D"/>
            </w:tcBorders>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Roland Wilson – Chief West Moberly First Nation</w:t>
            </w:r>
          </w:p>
        </w:tc>
        <w:tc>
          <w:tcPr>
            <w:tcW w:w="2939" w:type="dxa"/>
            <w:tcBorders>
              <w:top w:val="nil"/>
              <w:left w:val="nil"/>
              <w:bottom w:val="single" w:sz="8" w:space="0" w:color="A8D08D"/>
              <w:right w:val="single" w:sz="8" w:space="0" w:color="A8D08D"/>
            </w:tcBorders>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 xml:space="preserve">Raymond Ferris - Chief Executive Officer - West Fraser </w:t>
            </w:r>
          </w:p>
        </w:tc>
      </w:tr>
      <w:tr w:rsidR="00B80852" w:rsidTr="00851DB0">
        <w:tc>
          <w:tcPr>
            <w:tcW w:w="2694"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tcPr>
          <w:p w:rsidR="00B80852" w:rsidRPr="001D1743" w:rsidRDefault="00B80852" w:rsidP="00851DB0">
            <w:pPr>
              <w:rPr>
                <w:sz w:val="18"/>
                <w:szCs w:val="18"/>
              </w:rPr>
            </w:pPr>
            <w:r w:rsidRPr="001D1743">
              <w:rPr>
                <w:sz w:val="18"/>
                <w:szCs w:val="18"/>
              </w:rPr>
              <w:t>John Allan Deputy Minister - FLNRORD</w:t>
            </w:r>
          </w:p>
          <w:p w:rsidR="00B80852" w:rsidRPr="001D1743" w:rsidRDefault="00B80852" w:rsidP="00851DB0">
            <w:pPr>
              <w:rPr>
                <w:sz w:val="18"/>
                <w:szCs w:val="18"/>
              </w:rPr>
            </w:pPr>
          </w:p>
        </w:tc>
        <w:tc>
          <w:tcPr>
            <w:tcW w:w="25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 xml:space="preserve">Dale </w:t>
            </w:r>
            <w:proofErr w:type="spellStart"/>
            <w:r w:rsidRPr="001D1743">
              <w:rPr>
                <w:sz w:val="18"/>
                <w:szCs w:val="18"/>
              </w:rPr>
              <w:t>Bumstead</w:t>
            </w:r>
            <w:proofErr w:type="spellEnd"/>
            <w:r w:rsidRPr="001D1743">
              <w:rPr>
                <w:sz w:val="18"/>
                <w:szCs w:val="18"/>
              </w:rPr>
              <w:t xml:space="preserve"> - Mayor, Dawson Creek</w:t>
            </w:r>
          </w:p>
        </w:tc>
        <w:tc>
          <w:tcPr>
            <w:tcW w:w="184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 xml:space="preserve">Moe </w:t>
            </w:r>
            <w:proofErr w:type="spellStart"/>
            <w:r w:rsidRPr="001D1743">
              <w:rPr>
                <w:sz w:val="18"/>
                <w:szCs w:val="18"/>
              </w:rPr>
              <w:t>Sihota</w:t>
            </w:r>
            <w:proofErr w:type="spellEnd"/>
            <w:r w:rsidRPr="001D1743">
              <w:rPr>
                <w:sz w:val="18"/>
                <w:szCs w:val="18"/>
              </w:rPr>
              <w:t xml:space="preserve"> (</w:t>
            </w:r>
            <w:proofErr w:type="spellStart"/>
            <w:r w:rsidRPr="001D1743">
              <w:rPr>
                <w:sz w:val="18"/>
                <w:szCs w:val="18"/>
              </w:rPr>
              <w:t>Saulteau</w:t>
            </w:r>
            <w:proofErr w:type="spellEnd"/>
            <w:r w:rsidRPr="001D1743">
              <w:rPr>
                <w:sz w:val="18"/>
                <w:szCs w:val="18"/>
              </w:rPr>
              <w:t>)</w:t>
            </w:r>
          </w:p>
        </w:tc>
        <w:tc>
          <w:tcPr>
            <w:tcW w:w="2939"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Louisiana Pacific - (by conference call - Mike Blosser Senior VP/ Mark Fonda Forest Manager)</w:t>
            </w:r>
          </w:p>
        </w:tc>
      </w:tr>
      <w:tr w:rsidR="00B80852" w:rsidTr="00851DB0">
        <w:tc>
          <w:tcPr>
            <w:tcW w:w="2694"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Mark Zacharias - Deputy Minister, ENV</w:t>
            </w:r>
          </w:p>
        </w:tc>
        <w:tc>
          <w:tcPr>
            <w:tcW w:w="2544" w:type="dxa"/>
            <w:tcBorders>
              <w:top w:val="nil"/>
              <w:left w:val="nil"/>
              <w:bottom w:val="single" w:sz="8" w:space="0" w:color="A8D08D"/>
              <w:right w:val="single" w:sz="8" w:space="0" w:color="A8D08D"/>
            </w:tcBorders>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Lori Ackerman - Mayor, Fort Saint John (by conference call)</w:t>
            </w:r>
          </w:p>
        </w:tc>
        <w:tc>
          <w:tcPr>
            <w:tcW w:w="1845" w:type="dxa"/>
            <w:tcBorders>
              <w:top w:val="nil"/>
              <w:left w:val="nil"/>
              <w:bottom w:val="single" w:sz="8" w:space="0" w:color="A8D08D"/>
              <w:right w:val="single" w:sz="8" w:space="0" w:color="A8D08D"/>
            </w:tcBorders>
            <w:tcMar>
              <w:top w:w="0" w:type="dxa"/>
              <w:left w:w="108" w:type="dxa"/>
              <w:bottom w:w="0" w:type="dxa"/>
              <w:right w:w="108" w:type="dxa"/>
            </w:tcMar>
          </w:tcPr>
          <w:p w:rsidR="00B80852" w:rsidRPr="001D1743" w:rsidRDefault="00B80852" w:rsidP="00851DB0">
            <w:pPr>
              <w:rPr>
                <w:sz w:val="18"/>
                <w:szCs w:val="18"/>
              </w:rPr>
            </w:pPr>
          </w:p>
        </w:tc>
        <w:tc>
          <w:tcPr>
            <w:tcW w:w="2939" w:type="dxa"/>
            <w:tcBorders>
              <w:top w:val="nil"/>
              <w:left w:val="nil"/>
              <w:bottom w:val="single" w:sz="8" w:space="0" w:color="A8D08D"/>
              <w:right w:val="single" w:sz="8" w:space="0" w:color="A8D08D"/>
            </w:tcBorders>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 xml:space="preserve">John </w:t>
            </w:r>
            <w:proofErr w:type="spellStart"/>
            <w:r w:rsidRPr="001D1743">
              <w:rPr>
                <w:sz w:val="18"/>
                <w:szCs w:val="18"/>
              </w:rPr>
              <w:t>Schadan</w:t>
            </w:r>
            <w:proofErr w:type="spellEnd"/>
            <w:r w:rsidRPr="001D1743">
              <w:rPr>
                <w:sz w:val="18"/>
                <w:szCs w:val="18"/>
              </w:rPr>
              <w:t xml:space="preserve"> - President </w:t>
            </w:r>
            <w:proofErr w:type="spellStart"/>
            <w:r w:rsidRPr="001D1743">
              <w:rPr>
                <w:sz w:val="18"/>
                <w:szCs w:val="18"/>
              </w:rPr>
              <w:t>Conuma</w:t>
            </w:r>
            <w:proofErr w:type="spellEnd"/>
            <w:r w:rsidRPr="001D1743">
              <w:rPr>
                <w:sz w:val="18"/>
                <w:szCs w:val="18"/>
              </w:rPr>
              <w:t xml:space="preserve"> Coal</w:t>
            </w:r>
          </w:p>
        </w:tc>
      </w:tr>
      <w:tr w:rsidR="00B80852" w:rsidTr="00851DB0">
        <w:tc>
          <w:tcPr>
            <w:tcW w:w="2694"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 xml:space="preserve">Dave </w:t>
            </w:r>
            <w:proofErr w:type="spellStart"/>
            <w:r w:rsidRPr="001D1743">
              <w:rPr>
                <w:sz w:val="18"/>
                <w:szCs w:val="18"/>
              </w:rPr>
              <w:t>Nikolojsin</w:t>
            </w:r>
            <w:proofErr w:type="spellEnd"/>
            <w:r w:rsidRPr="001D1743">
              <w:rPr>
                <w:sz w:val="18"/>
                <w:szCs w:val="18"/>
              </w:rPr>
              <w:t xml:space="preserve"> - Deputy Minister - EMPR</w:t>
            </w:r>
          </w:p>
        </w:tc>
        <w:tc>
          <w:tcPr>
            <w:tcW w:w="25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 xml:space="preserve">Raye </w:t>
            </w:r>
            <w:proofErr w:type="spellStart"/>
            <w:r w:rsidRPr="001D1743">
              <w:rPr>
                <w:sz w:val="18"/>
                <w:szCs w:val="18"/>
              </w:rPr>
              <w:t>McMeeken</w:t>
            </w:r>
            <w:proofErr w:type="spellEnd"/>
            <w:r w:rsidRPr="001D1743">
              <w:rPr>
                <w:sz w:val="18"/>
                <w:szCs w:val="18"/>
              </w:rPr>
              <w:t xml:space="preserve"> - Deputy Mayor, Mackenzie</w:t>
            </w:r>
          </w:p>
        </w:tc>
        <w:tc>
          <w:tcPr>
            <w:tcW w:w="184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rsidR="00B80852" w:rsidRPr="001D1743" w:rsidRDefault="00B80852" w:rsidP="00851DB0">
            <w:pPr>
              <w:rPr>
                <w:sz w:val="18"/>
                <w:szCs w:val="18"/>
              </w:rPr>
            </w:pPr>
          </w:p>
        </w:tc>
        <w:tc>
          <w:tcPr>
            <w:tcW w:w="2939"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Darren Mawhinney - Mining Manager Anglo American</w:t>
            </w:r>
          </w:p>
        </w:tc>
      </w:tr>
      <w:tr w:rsidR="00B80852" w:rsidTr="00851DB0">
        <w:tc>
          <w:tcPr>
            <w:tcW w:w="2694"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Christine Kennedy, Associate Deputy Minister, Premier’s Office</w:t>
            </w:r>
          </w:p>
        </w:tc>
        <w:tc>
          <w:tcPr>
            <w:tcW w:w="2544" w:type="dxa"/>
            <w:tcBorders>
              <w:top w:val="nil"/>
              <w:left w:val="nil"/>
              <w:bottom w:val="single" w:sz="8" w:space="0" w:color="A8D08D"/>
              <w:right w:val="single" w:sz="8" w:space="0" w:color="A8D08D"/>
            </w:tcBorders>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Dan Rose, Director, Peace River Regional District</w:t>
            </w:r>
          </w:p>
        </w:tc>
        <w:tc>
          <w:tcPr>
            <w:tcW w:w="1845" w:type="dxa"/>
            <w:tcBorders>
              <w:top w:val="nil"/>
              <w:left w:val="nil"/>
              <w:bottom w:val="single" w:sz="8" w:space="0" w:color="A8D08D"/>
              <w:right w:val="single" w:sz="8" w:space="0" w:color="A8D08D"/>
            </w:tcBorders>
            <w:tcMar>
              <w:top w:w="0" w:type="dxa"/>
              <w:left w:w="108" w:type="dxa"/>
              <w:bottom w:w="0" w:type="dxa"/>
              <w:right w:w="108" w:type="dxa"/>
            </w:tcMar>
          </w:tcPr>
          <w:p w:rsidR="00B80852" w:rsidRPr="001D1743" w:rsidRDefault="00B80852" w:rsidP="00851DB0">
            <w:pPr>
              <w:rPr>
                <w:sz w:val="18"/>
                <w:szCs w:val="18"/>
              </w:rPr>
            </w:pPr>
          </w:p>
        </w:tc>
        <w:tc>
          <w:tcPr>
            <w:tcW w:w="2939" w:type="dxa"/>
            <w:tcBorders>
              <w:top w:val="nil"/>
              <w:left w:val="nil"/>
              <w:bottom w:val="single" w:sz="8" w:space="0" w:color="A8D08D"/>
              <w:right w:val="single" w:sz="8" w:space="0" w:color="A8D08D"/>
            </w:tcBorders>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Bill Clapperton, Vice President, Canadian Natural Resources Ltd (by conference call)</w:t>
            </w:r>
          </w:p>
        </w:tc>
      </w:tr>
      <w:tr w:rsidR="00B80852" w:rsidTr="00851DB0">
        <w:tc>
          <w:tcPr>
            <w:tcW w:w="2694" w:type="dxa"/>
            <w:tcBorders>
              <w:top w:val="nil"/>
              <w:left w:val="single" w:sz="8" w:space="0" w:color="A8D08D"/>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Christine Hogan, Deputy Minister, Environment and Climate Change Canada</w:t>
            </w:r>
          </w:p>
        </w:tc>
        <w:tc>
          <w:tcPr>
            <w:tcW w:w="2544"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 xml:space="preserve">Blair </w:t>
            </w:r>
            <w:proofErr w:type="spellStart"/>
            <w:r w:rsidRPr="001D1743">
              <w:rPr>
                <w:sz w:val="18"/>
                <w:szCs w:val="18"/>
              </w:rPr>
              <w:t>Lekstrom</w:t>
            </w:r>
            <w:proofErr w:type="spellEnd"/>
            <w:r w:rsidRPr="001D1743">
              <w:rPr>
                <w:sz w:val="18"/>
                <w:szCs w:val="18"/>
              </w:rPr>
              <w:t xml:space="preserve"> - Premier’s Liaison Local Government</w:t>
            </w:r>
          </w:p>
        </w:tc>
        <w:tc>
          <w:tcPr>
            <w:tcW w:w="1845"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rsidR="00B80852" w:rsidRPr="001D1743" w:rsidRDefault="00B80852" w:rsidP="00851DB0">
            <w:pPr>
              <w:rPr>
                <w:sz w:val="18"/>
                <w:szCs w:val="18"/>
              </w:rPr>
            </w:pPr>
          </w:p>
        </w:tc>
        <w:tc>
          <w:tcPr>
            <w:tcW w:w="2939" w:type="dxa"/>
            <w:tcBorders>
              <w:top w:val="nil"/>
              <w:left w:val="nil"/>
              <w:bottom w:val="single" w:sz="8" w:space="0" w:color="A8D08D"/>
              <w:right w:val="single" w:sz="8" w:space="0" w:color="A8D08D"/>
            </w:tcBorders>
            <w:shd w:val="clear" w:color="auto" w:fill="E2EFD9"/>
            <w:tcMar>
              <w:top w:w="0" w:type="dxa"/>
              <w:left w:w="108" w:type="dxa"/>
              <w:bottom w:w="0" w:type="dxa"/>
              <w:right w:w="108" w:type="dxa"/>
            </w:tcMar>
          </w:tcPr>
          <w:p w:rsidR="00B80852" w:rsidRPr="001D1743" w:rsidRDefault="00B80852" w:rsidP="00851DB0">
            <w:pPr>
              <w:rPr>
                <w:sz w:val="18"/>
                <w:szCs w:val="18"/>
              </w:rPr>
            </w:pPr>
            <w:r w:rsidRPr="001D1743">
              <w:rPr>
                <w:sz w:val="18"/>
                <w:szCs w:val="18"/>
              </w:rPr>
              <w:t xml:space="preserve">Mark </w:t>
            </w:r>
            <w:proofErr w:type="spellStart"/>
            <w:r w:rsidRPr="001D1743">
              <w:rPr>
                <w:sz w:val="18"/>
                <w:szCs w:val="18"/>
              </w:rPr>
              <w:t>Feldinger</w:t>
            </w:r>
            <w:proofErr w:type="spellEnd"/>
            <w:r w:rsidRPr="001D1743">
              <w:rPr>
                <w:sz w:val="18"/>
                <w:szCs w:val="18"/>
              </w:rPr>
              <w:t xml:space="preserve"> - Senior VP, Canfor</w:t>
            </w:r>
          </w:p>
          <w:p w:rsidR="00B80852" w:rsidRPr="001D1743" w:rsidRDefault="00B80852" w:rsidP="00851DB0">
            <w:pPr>
              <w:rPr>
                <w:sz w:val="18"/>
                <w:szCs w:val="18"/>
              </w:rPr>
            </w:pPr>
          </w:p>
        </w:tc>
      </w:tr>
      <w:tr w:rsidR="00B80852" w:rsidTr="00851DB0">
        <w:tc>
          <w:tcPr>
            <w:tcW w:w="2694" w:type="dxa"/>
            <w:tcBorders>
              <w:top w:val="nil"/>
              <w:left w:val="single" w:sz="8" w:space="0" w:color="A8D08D"/>
              <w:bottom w:val="single" w:sz="8" w:space="0" w:color="A8D08D"/>
              <w:right w:val="single" w:sz="8" w:space="0" w:color="A8D08D"/>
            </w:tcBorders>
            <w:tcMar>
              <w:top w:w="0" w:type="dxa"/>
              <w:left w:w="108" w:type="dxa"/>
              <w:bottom w:w="0" w:type="dxa"/>
              <w:right w:w="108" w:type="dxa"/>
            </w:tcMar>
            <w:hideMark/>
          </w:tcPr>
          <w:p w:rsidR="00B80852" w:rsidRPr="001D1743" w:rsidRDefault="00B80852" w:rsidP="00851DB0">
            <w:pPr>
              <w:rPr>
                <w:sz w:val="18"/>
                <w:szCs w:val="18"/>
              </w:rPr>
            </w:pPr>
            <w:r w:rsidRPr="001D1743">
              <w:rPr>
                <w:sz w:val="18"/>
                <w:szCs w:val="18"/>
              </w:rPr>
              <w:t>Sue Milburn- Hopwood - Assistant Deputy Minister, Environment and Climate Change Canada</w:t>
            </w:r>
          </w:p>
        </w:tc>
        <w:tc>
          <w:tcPr>
            <w:tcW w:w="2544" w:type="dxa"/>
            <w:tcBorders>
              <w:top w:val="nil"/>
              <w:left w:val="nil"/>
              <w:bottom w:val="single" w:sz="8" w:space="0" w:color="A8D08D"/>
              <w:right w:val="single" w:sz="8" w:space="0" w:color="A8D08D"/>
            </w:tcBorders>
            <w:tcMar>
              <w:top w:w="0" w:type="dxa"/>
              <w:left w:w="108" w:type="dxa"/>
              <w:bottom w:w="0" w:type="dxa"/>
              <w:right w:w="108" w:type="dxa"/>
            </w:tcMar>
          </w:tcPr>
          <w:p w:rsidR="00B80852" w:rsidRPr="001D1743" w:rsidRDefault="00B80852" w:rsidP="00851DB0">
            <w:pPr>
              <w:rPr>
                <w:sz w:val="18"/>
                <w:szCs w:val="18"/>
              </w:rPr>
            </w:pPr>
          </w:p>
        </w:tc>
        <w:tc>
          <w:tcPr>
            <w:tcW w:w="1845" w:type="dxa"/>
            <w:tcBorders>
              <w:top w:val="nil"/>
              <w:left w:val="nil"/>
              <w:bottom w:val="single" w:sz="8" w:space="0" w:color="A8D08D"/>
              <w:right w:val="single" w:sz="8" w:space="0" w:color="A8D08D"/>
            </w:tcBorders>
            <w:tcMar>
              <w:top w:w="0" w:type="dxa"/>
              <w:left w:w="108" w:type="dxa"/>
              <w:bottom w:w="0" w:type="dxa"/>
              <w:right w:w="108" w:type="dxa"/>
            </w:tcMar>
          </w:tcPr>
          <w:p w:rsidR="00B80852" w:rsidRPr="001D1743" w:rsidRDefault="00B80852" w:rsidP="00851DB0">
            <w:pPr>
              <w:rPr>
                <w:sz w:val="18"/>
                <w:szCs w:val="18"/>
              </w:rPr>
            </w:pPr>
          </w:p>
        </w:tc>
        <w:tc>
          <w:tcPr>
            <w:tcW w:w="2939" w:type="dxa"/>
            <w:tcBorders>
              <w:top w:val="nil"/>
              <w:left w:val="nil"/>
              <w:bottom w:val="single" w:sz="8" w:space="0" w:color="A8D08D"/>
              <w:right w:val="single" w:sz="8" w:space="0" w:color="A8D08D"/>
            </w:tcBorders>
            <w:tcMar>
              <w:top w:w="0" w:type="dxa"/>
              <w:left w:w="108" w:type="dxa"/>
              <w:bottom w:w="0" w:type="dxa"/>
              <w:right w:w="108" w:type="dxa"/>
            </w:tcMar>
          </w:tcPr>
          <w:p w:rsidR="00B80852" w:rsidRPr="001D1743" w:rsidRDefault="00B80852" w:rsidP="00851DB0">
            <w:pPr>
              <w:rPr>
                <w:sz w:val="18"/>
                <w:szCs w:val="18"/>
              </w:rPr>
            </w:pPr>
          </w:p>
        </w:tc>
      </w:tr>
    </w:tbl>
    <w:p w:rsidR="00B80852" w:rsidRDefault="00B80852" w:rsidP="00B80852">
      <w:pPr>
        <w:rPr>
          <w:rFonts w:ascii="Calibri" w:hAnsi="Calibri" w:cs="Calibri"/>
        </w:rPr>
      </w:pPr>
    </w:p>
    <w:p w:rsidR="00B80852" w:rsidRDefault="00B80852" w:rsidP="00B80852">
      <w:pPr>
        <w:rPr>
          <w:b/>
          <w:bCs/>
          <w:u w:val="single"/>
        </w:rPr>
      </w:pPr>
      <w:r>
        <w:rPr>
          <w:b/>
          <w:bCs/>
          <w:u w:val="single"/>
        </w:rPr>
        <w:t>Advisors</w:t>
      </w:r>
    </w:p>
    <w:p w:rsidR="00B80852" w:rsidRDefault="00B80852" w:rsidP="00B80852">
      <w:pPr>
        <w:rPr>
          <w:sz w:val="20"/>
          <w:szCs w:val="20"/>
        </w:rPr>
      </w:pPr>
      <w:r>
        <w:rPr>
          <w:sz w:val="20"/>
          <w:szCs w:val="20"/>
        </w:rPr>
        <w:t xml:space="preserve">David Muter Executive Director Species </w:t>
      </w:r>
      <w:proofErr w:type="gramStart"/>
      <w:r>
        <w:rPr>
          <w:sz w:val="20"/>
          <w:szCs w:val="20"/>
        </w:rPr>
        <w:t>At</w:t>
      </w:r>
      <w:proofErr w:type="gramEnd"/>
      <w:r>
        <w:rPr>
          <w:sz w:val="20"/>
          <w:szCs w:val="20"/>
        </w:rPr>
        <w:t xml:space="preserve"> Risk Recovery FLNRORD</w:t>
      </w:r>
    </w:p>
    <w:p w:rsidR="00B80852" w:rsidRDefault="00B80852" w:rsidP="00B80852">
      <w:pPr>
        <w:rPr>
          <w:sz w:val="20"/>
          <w:szCs w:val="20"/>
        </w:rPr>
      </w:pPr>
      <w:r>
        <w:rPr>
          <w:sz w:val="20"/>
          <w:szCs w:val="20"/>
        </w:rPr>
        <w:t>Blair Hammond Director General Environment and Climate Change Canada</w:t>
      </w:r>
    </w:p>
    <w:p w:rsidR="00B80852" w:rsidRDefault="00B80852" w:rsidP="00B80852">
      <w:pPr>
        <w:rPr>
          <w:sz w:val="20"/>
          <w:szCs w:val="20"/>
        </w:rPr>
      </w:pPr>
      <w:r>
        <w:rPr>
          <w:sz w:val="20"/>
          <w:szCs w:val="20"/>
        </w:rPr>
        <w:t xml:space="preserve">Jody Shimkus – </w:t>
      </w:r>
      <w:proofErr w:type="spellStart"/>
      <w:r>
        <w:rPr>
          <w:sz w:val="20"/>
          <w:szCs w:val="20"/>
        </w:rPr>
        <w:t>Conuma</w:t>
      </w:r>
      <w:proofErr w:type="spellEnd"/>
      <w:r>
        <w:rPr>
          <w:sz w:val="20"/>
          <w:szCs w:val="20"/>
        </w:rPr>
        <w:t xml:space="preserve"> Coal</w:t>
      </w:r>
    </w:p>
    <w:p w:rsidR="00B80852" w:rsidRDefault="00B80852" w:rsidP="00B80852">
      <w:pPr>
        <w:rPr>
          <w:sz w:val="20"/>
          <w:szCs w:val="20"/>
        </w:rPr>
      </w:pPr>
      <w:r>
        <w:rPr>
          <w:sz w:val="20"/>
          <w:szCs w:val="20"/>
        </w:rPr>
        <w:t>Tim Thielman – legal counsel West Moberly First Nations</w:t>
      </w:r>
    </w:p>
    <w:p w:rsidR="00B80852" w:rsidRDefault="00B80852" w:rsidP="00B80852">
      <w:r>
        <w:rPr>
          <w:sz w:val="20"/>
          <w:szCs w:val="20"/>
        </w:rPr>
        <w:t xml:space="preserve">Roger Harris – </w:t>
      </w:r>
      <w:proofErr w:type="spellStart"/>
      <w:r>
        <w:rPr>
          <w:sz w:val="20"/>
          <w:szCs w:val="20"/>
        </w:rPr>
        <w:t>Saulteau</w:t>
      </w:r>
      <w:proofErr w:type="spellEnd"/>
      <w:r>
        <w:rPr>
          <w:sz w:val="20"/>
          <w:szCs w:val="20"/>
        </w:rPr>
        <w:t xml:space="preserve"> First Nation</w:t>
      </w:r>
    </w:p>
    <w:p w:rsidR="00B80852" w:rsidRDefault="00B80852" w:rsidP="00B80852">
      <w:pPr>
        <w:rPr>
          <w:b/>
          <w:bCs/>
          <w:u w:val="single"/>
        </w:rPr>
      </w:pPr>
    </w:p>
    <w:p w:rsidR="00B80852" w:rsidRDefault="00B80852" w:rsidP="00B80852">
      <w:pPr>
        <w:rPr>
          <w:b/>
          <w:bCs/>
          <w:u w:val="single"/>
        </w:rPr>
      </w:pPr>
      <w:r>
        <w:rPr>
          <w:b/>
          <w:bCs/>
          <w:u w:val="single"/>
        </w:rPr>
        <w:t>Facilitators</w:t>
      </w:r>
      <w:r>
        <w:rPr>
          <w:b/>
          <w:bCs/>
        </w:rPr>
        <w:t xml:space="preserve">         </w:t>
      </w:r>
    </w:p>
    <w:p w:rsidR="00B80852" w:rsidRDefault="00B80852" w:rsidP="00B80852">
      <w:pPr>
        <w:rPr>
          <w:sz w:val="20"/>
          <w:szCs w:val="20"/>
        </w:rPr>
      </w:pPr>
      <w:r>
        <w:rPr>
          <w:sz w:val="20"/>
          <w:szCs w:val="20"/>
        </w:rPr>
        <w:t>Patrick Kelly - Facilitator - Government of British Columbia</w:t>
      </w:r>
    </w:p>
    <w:p w:rsidR="00B80852" w:rsidRDefault="00B80852" w:rsidP="00B80852">
      <w:r>
        <w:rPr>
          <w:sz w:val="20"/>
          <w:szCs w:val="20"/>
        </w:rPr>
        <w:t xml:space="preserve">Lorne </w:t>
      </w:r>
      <w:proofErr w:type="spellStart"/>
      <w:r>
        <w:rPr>
          <w:sz w:val="20"/>
          <w:szCs w:val="20"/>
        </w:rPr>
        <w:t>Brownsey</w:t>
      </w:r>
      <w:proofErr w:type="spellEnd"/>
      <w:r>
        <w:rPr>
          <w:sz w:val="20"/>
          <w:szCs w:val="20"/>
        </w:rPr>
        <w:t xml:space="preserve"> - Facilitator - Government of British Columbia</w:t>
      </w:r>
    </w:p>
    <w:p w:rsidR="00B80852" w:rsidRDefault="00B80852" w:rsidP="00B80852"/>
    <w:p w:rsidR="00B80852" w:rsidRDefault="00B80852" w:rsidP="00B80852"/>
    <w:p w:rsidR="00B80852" w:rsidRDefault="00B80852"/>
    <w:sectPr w:rsidR="00B80852">
      <w:pgSz w:w="12240" w:h="15840"/>
      <w:pgMar w:top="1560" w:right="1320" w:bottom="1700" w:left="1340" w:header="365"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C1" w:rsidRDefault="00EF0F9A">
      <w:r>
        <w:separator/>
      </w:r>
    </w:p>
  </w:endnote>
  <w:endnote w:type="continuationSeparator" w:id="0">
    <w:p w:rsidR="00F60EC1" w:rsidRDefault="00EF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31" w:rsidRDefault="00EF0F9A">
    <w:pPr>
      <w:pStyle w:val="BodyText"/>
      <w:spacing w:line="14" w:lineRule="auto"/>
      <w:rPr>
        <w:b w:val="0"/>
        <w:sz w:val="20"/>
      </w:rPr>
    </w:pPr>
    <w:r>
      <w:rPr>
        <w:noProof/>
      </w:rPr>
      <w:drawing>
        <wp:anchor distT="0" distB="0" distL="0" distR="0" simplePos="0" relativeHeight="268428743" behindDoc="1" locked="0" layoutInCell="1" allowOverlap="1">
          <wp:simplePos x="0" y="0"/>
          <wp:positionH relativeFrom="page">
            <wp:posOffset>19050</wp:posOffset>
          </wp:positionH>
          <wp:positionV relativeFrom="page">
            <wp:posOffset>8925207</wp:posOffset>
          </wp:positionV>
          <wp:extent cx="7753350" cy="11331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753350" cy="1133190"/>
                  </a:xfrm>
                  <a:prstGeom prst="rect">
                    <a:avLst/>
                  </a:prstGeom>
                </pic:spPr>
              </pic:pic>
            </a:graphicData>
          </a:graphic>
        </wp:anchor>
      </w:drawing>
    </w:r>
    <w:r>
      <w:rPr>
        <w:noProof/>
      </w:rPr>
      <mc:AlternateContent>
        <mc:Choice Requires="wps">
          <w:drawing>
            <wp:anchor distT="0" distB="0" distL="114300" distR="114300" simplePos="0" relativeHeight="503309792" behindDoc="1" locked="0" layoutInCell="1" allowOverlap="1">
              <wp:simplePos x="0" y="0"/>
              <wp:positionH relativeFrom="page">
                <wp:posOffset>901700</wp:posOffset>
              </wp:positionH>
              <wp:positionV relativeFrom="page">
                <wp:posOffset>9454515</wp:posOffset>
              </wp:positionV>
              <wp:extent cx="6642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A31" w:rsidRDefault="00EF0F9A">
                          <w:pPr>
                            <w:spacing w:line="245" w:lineRule="exact"/>
                            <w:ind w:left="20"/>
                            <w:rPr>
                              <w:rFonts w:ascii="Calibri"/>
                              <w:b/>
                            </w:rPr>
                          </w:pPr>
                          <w:r>
                            <w:rPr>
                              <w:rFonts w:ascii="Calibri"/>
                              <w:color w:val="7E7E7E"/>
                            </w:rPr>
                            <w:t xml:space="preserve">P a g e </w:t>
                          </w:r>
                          <w:r>
                            <w:rPr>
                              <w:rFonts w:ascii="Calibri"/>
                            </w:rPr>
                            <w:t xml:space="preserve">| </w:t>
                          </w:r>
                          <w:r>
                            <w:fldChar w:fldCharType="begin"/>
                          </w:r>
                          <w:r>
                            <w:rPr>
                              <w:rFonts w:ascii="Calibri"/>
                              <w:b/>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44.45pt;width:52.3pt;height:13.05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Gqrg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" filled="f" stroked="f">
              <v:textbox inset="0,0,0,0">
                <w:txbxContent>
                  <w:p w:rsidR="00FB2A31" w:rsidRDefault="00EF0F9A">
                    <w:pPr>
                      <w:spacing w:line="245" w:lineRule="exact"/>
                      <w:ind w:left="20"/>
                      <w:rPr>
                        <w:rFonts w:ascii="Calibri"/>
                        <w:b/>
                      </w:rPr>
                    </w:pPr>
                    <w:r>
                      <w:rPr>
                        <w:rFonts w:ascii="Calibri"/>
                        <w:color w:val="7E7E7E"/>
                      </w:rPr>
                      <w:t xml:space="preserve">P a g e </w:t>
                    </w:r>
                    <w:r>
                      <w:rPr>
                        <w:rFonts w:ascii="Calibri"/>
                      </w:rPr>
                      <w:t xml:space="preserve">| </w:t>
                    </w:r>
                    <w:r>
                      <w:fldChar w:fldCharType="begin"/>
                    </w:r>
                    <w:r>
                      <w:rPr>
                        <w:rFonts w:ascii="Calibri"/>
                        <w:b/>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C1" w:rsidRDefault="00EF0F9A">
      <w:r>
        <w:separator/>
      </w:r>
    </w:p>
  </w:footnote>
  <w:footnote w:type="continuationSeparator" w:id="0">
    <w:p w:rsidR="00F60EC1" w:rsidRDefault="00EF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31" w:rsidRDefault="00EF0F9A">
    <w:pPr>
      <w:pStyle w:val="BodyText"/>
      <w:spacing w:line="14" w:lineRule="auto"/>
      <w:rPr>
        <w:b w:val="0"/>
        <w:sz w:val="20"/>
      </w:rPr>
    </w:pPr>
    <w:r>
      <w:rPr>
        <w:noProof/>
      </w:rPr>
      <w:drawing>
        <wp:anchor distT="0" distB="0" distL="0" distR="0" simplePos="0" relativeHeight="268428671" behindDoc="1" locked="0" layoutInCell="1" allowOverlap="1">
          <wp:simplePos x="0" y="0"/>
          <wp:positionH relativeFrom="page">
            <wp:posOffset>4460240</wp:posOffset>
          </wp:positionH>
          <wp:positionV relativeFrom="page">
            <wp:posOffset>231775</wp:posOffset>
          </wp:positionV>
          <wp:extent cx="2417571" cy="4629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17571" cy="462915"/>
                  </a:xfrm>
                  <a:prstGeom prst="rect">
                    <a:avLst/>
                  </a:prstGeom>
                </pic:spPr>
              </pic:pic>
            </a:graphicData>
          </a:graphic>
        </wp:anchor>
      </w:drawing>
    </w:r>
    <w:r>
      <w:rPr>
        <w:noProof/>
      </w:rPr>
      <mc:AlternateContent>
        <mc:Choice Requires="wps">
          <w:drawing>
            <wp:anchor distT="0" distB="0" distL="114300" distR="114300" simplePos="0" relativeHeight="503309720" behindDoc="1" locked="0" layoutInCell="1" allowOverlap="1">
              <wp:simplePos x="0" y="0"/>
              <wp:positionH relativeFrom="page">
                <wp:posOffset>901700</wp:posOffset>
              </wp:positionH>
              <wp:positionV relativeFrom="page">
                <wp:posOffset>436245</wp:posOffset>
              </wp:positionV>
              <wp:extent cx="1149985" cy="197485"/>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A31" w:rsidRDefault="00EF0F9A">
                          <w:pPr>
                            <w:pStyle w:val="BodyText"/>
                            <w:spacing w:before="21"/>
                            <w:ind w:left="20"/>
                          </w:pPr>
                          <w:r>
                            <w:t>PROJECT 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34.35pt;width:90.55pt;height:15.5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B2qw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" filled="f" stroked="f">
              <v:textbox inset="0,0,0,0">
                <w:txbxContent>
                  <w:p w:rsidR="00FB2A31" w:rsidRDefault="00EF0F9A">
                    <w:pPr>
                      <w:pStyle w:val="BodyText"/>
                      <w:spacing w:before="21"/>
                      <w:ind w:left="20"/>
                    </w:pPr>
                    <w:r>
                      <w:t>PROJECT UPDATE</w:t>
                    </w:r>
                  </w:p>
                </w:txbxContent>
              </v:textbox>
              <w10:wrap anchorx="page" anchory="page"/>
            </v:shape>
          </w:pict>
        </mc:Fallback>
      </mc:AlternateContent>
    </w:r>
    <w:r>
      <w:rPr>
        <w:noProof/>
      </w:rPr>
      <mc:AlternateContent>
        <mc:Choice Requires="wps">
          <w:drawing>
            <wp:anchor distT="0" distB="0" distL="114300" distR="114300" simplePos="0" relativeHeight="503309744" behindDoc="1" locked="0" layoutInCell="1" allowOverlap="1">
              <wp:simplePos x="0" y="0"/>
              <wp:positionH relativeFrom="page">
                <wp:posOffset>901700</wp:posOffset>
              </wp:positionH>
              <wp:positionV relativeFrom="page">
                <wp:posOffset>774065</wp:posOffset>
              </wp:positionV>
              <wp:extent cx="4404995" cy="212725"/>
              <wp:effectExtent l="0" t="254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A31" w:rsidRDefault="00EF0F9A">
                          <w:pPr>
                            <w:spacing w:before="20"/>
                            <w:ind w:left="20"/>
                            <w:rPr>
                              <w:rFonts w:ascii="Century Gothic"/>
                              <w:b/>
                              <w:sz w:val="24"/>
                            </w:rPr>
                          </w:pPr>
                          <w:r>
                            <w:rPr>
                              <w:rFonts w:ascii="Century Gothic"/>
                              <w:b/>
                              <w:color w:val="5D8B92"/>
                              <w:sz w:val="24"/>
                            </w:rPr>
                            <w:t>DRAFT SEC. 11 AND DRAFT PARTNERSHIP AGREEMENT 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pt;margin-top:60.95pt;width:346.85pt;height:16.7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Arw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" filled="f" stroked="f">
              <v:textbox inset="0,0,0,0">
                <w:txbxContent>
                  <w:p w:rsidR="00FB2A31" w:rsidRDefault="00EF0F9A">
                    <w:pPr>
                      <w:spacing w:before="20"/>
                      <w:ind w:left="20"/>
                      <w:rPr>
                        <w:rFonts w:ascii="Century Gothic"/>
                        <w:b/>
                        <w:sz w:val="24"/>
                      </w:rPr>
                    </w:pPr>
                    <w:r>
                      <w:rPr>
                        <w:rFonts w:ascii="Century Gothic"/>
                        <w:b/>
                        <w:color w:val="5D8B92"/>
                        <w:sz w:val="24"/>
                      </w:rPr>
                      <w:t>DRAFT SEC. 11 AND DRAFT PARTNERSHIP AGREEMENT UPDATE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38B"/>
    <w:multiLevelType w:val="hybridMultilevel"/>
    <w:tmpl w:val="88D848F8"/>
    <w:lvl w:ilvl="0" w:tplc="B2C84D7C">
      <w:numFmt w:val="bullet"/>
      <w:lvlText w:val=""/>
      <w:lvlJc w:val="left"/>
      <w:pPr>
        <w:ind w:left="465" w:hanging="360"/>
      </w:pPr>
      <w:rPr>
        <w:rFonts w:ascii="Symbol" w:eastAsia="Symbol" w:hAnsi="Symbol" w:cs="Symbol" w:hint="default"/>
        <w:w w:val="99"/>
        <w:sz w:val="20"/>
        <w:szCs w:val="20"/>
        <w:lang w:val="en-CA" w:eastAsia="en-CA" w:bidi="en-CA"/>
      </w:rPr>
    </w:lvl>
    <w:lvl w:ilvl="1" w:tplc="1780FA6A">
      <w:numFmt w:val="bullet"/>
      <w:lvlText w:val="•"/>
      <w:lvlJc w:val="left"/>
      <w:pPr>
        <w:ind w:left="1177" w:hanging="360"/>
      </w:pPr>
      <w:rPr>
        <w:rFonts w:hint="default"/>
        <w:lang w:val="en-CA" w:eastAsia="en-CA" w:bidi="en-CA"/>
      </w:rPr>
    </w:lvl>
    <w:lvl w:ilvl="2" w:tplc="7C0A0896">
      <w:numFmt w:val="bullet"/>
      <w:lvlText w:val="•"/>
      <w:lvlJc w:val="left"/>
      <w:pPr>
        <w:ind w:left="1895" w:hanging="360"/>
      </w:pPr>
      <w:rPr>
        <w:rFonts w:hint="default"/>
        <w:lang w:val="en-CA" w:eastAsia="en-CA" w:bidi="en-CA"/>
      </w:rPr>
    </w:lvl>
    <w:lvl w:ilvl="3" w:tplc="C7E2ABB8">
      <w:numFmt w:val="bullet"/>
      <w:lvlText w:val="•"/>
      <w:lvlJc w:val="left"/>
      <w:pPr>
        <w:ind w:left="2612" w:hanging="360"/>
      </w:pPr>
      <w:rPr>
        <w:rFonts w:hint="default"/>
        <w:lang w:val="en-CA" w:eastAsia="en-CA" w:bidi="en-CA"/>
      </w:rPr>
    </w:lvl>
    <w:lvl w:ilvl="4" w:tplc="60260244">
      <w:numFmt w:val="bullet"/>
      <w:lvlText w:val="•"/>
      <w:lvlJc w:val="left"/>
      <w:pPr>
        <w:ind w:left="3330" w:hanging="360"/>
      </w:pPr>
      <w:rPr>
        <w:rFonts w:hint="default"/>
        <w:lang w:val="en-CA" w:eastAsia="en-CA" w:bidi="en-CA"/>
      </w:rPr>
    </w:lvl>
    <w:lvl w:ilvl="5" w:tplc="21A87F7A">
      <w:numFmt w:val="bullet"/>
      <w:lvlText w:val="•"/>
      <w:lvlJc w:val="left"/>
      <w:pPr>
        <w:ind w:left="4047" w:hanging="360"/>
      </w:pPr>
      <w:rPr>
        <w:rFonts w:hint="default"/>
        <w:lang w:val="en-CA" w:eastAsia="en-CA" w:bidi="en-CA"/>
      </w:rPr>
    </w:lvl>
    <w:lvl w:ilvl="6" w:tplc="0CC4084E">
      <w:numFmt w:val="bullet"/>
      <w:lvlText w:val="•"/>
      <w:lvlJc w:val="left"/>
      <w:pPr>
        <w:ind w:left="4765" w:hanging="360"/>
      </w:pPr>
      <w:rPr>
        <w:rFonts w:hint="default"/>
        <w:lang w:val="en-CA" w:eastAsia="en-CA" w:bidi="en-CA"/>
      </w:rPr>
    </w:lvl>
    <w:lvl w:ilvl="7" w:tplc="FD02D428">
      <w:numFmt w:val="bullet"/>
      <w:lvlText w:val="•"/>
      <w:lvlJc w:val="left"/>
      <w:pPr>
        <w:ind w:left="5482" w:hanging="360"/>
      </w:pPr>
      <w:rPr>
        <w:rFonts w:hint="default"/>
        <w:lang w:val="en-CA" w:eastAsia="en-CA" w:bidi="en-CA"/>
      </w:rPr>
    </w:lvl>
    <w:lvl w:ilvl="8" w:tplc="7A70A292">
      <w:numFmt w:val="bullet"/>
      <w:lvlText w:val="•"/>
      <w:lvlJc w:val="left"/>
      <w:pPr>
        <w:ind w:left="6200" w:hanging="360"/>
      </w:pPr>
      <w:rPr>
        <w:rFonts w:hint="default"/>
        <w:lang w:val="en-CA" w:eastAsia="en-CA" w:bidi="en-CA"/>
      </w:rPr>
    </w:lvl>
  </w:abstractNum>
  <w:abstractNum w:abstractNumId="1" w15:restartNumberingAfterBreak="0">
    <w:nsid w:val="3C8208E2"/>
    <w:multiLevelType w:val="hybridMultilevel"/>
    <w:tmpl w:val="0B586B70"/>
    <w:lvl w:ilvl="0" w:tplc="4860DFF6">
      <w:numFmt w:val="bullet"/>
      <w:lvlText w:val=""/>
      <w:lvlJc w:val="left"/>
      <w:pPr>
        <w:ind w:left="468" w:hanging="360"/>
      </w:pPr>
      <w:rPr>
        <w:rFonts w:ascii="Symbol" w:eastAsia="Symbol" w:hAnsi="Symbol" w:cs="Symbol" w:hint="default"/>
        <w:w w:val="99"/>
        <w:sz w:val="20"/>
        <w:szCs w:val="20"/>
        <w:lang w:val="en-CA" w:eastAsia="en-CA" w:bidi="en-CA"/>
      </w:rPr>
    </w:lvl>
    <w:lvl w:ilvl="1" w:tplc="6F964B60">
      <w:numFmt w:val="bullet"/>
      <w:lvlText w:val="•"/>
      <w:lvlJc w:val="left"/>
      <w:pPr>
        <w:ind w:left="1132" w:hanging="360"/>
      </w:pPr>
      <w:rPr>
        <w:rFonts w:hint="default"/>
        <w:lang w:val="en-CA" w:eastAsia="en-CA" w:bidi="en-CA"/>
      </w:rPr>
    </w:lvl>
    <w:lvl w:ilvl="2" w:tplc="F08023C4">
      <w:numFmt w:val="bullet"/>
      <w:lvlText w:val="•"/>
      <w:lvlJc w:val="left"/>
      <w:pPr>
        <w:ind w:left="1805" w:hanging="360"/>
      </w:pPr>
      <w:rPr>
        <w:rFonts w:hint="default"/>
        <w:lang w:val="en-CA" w:eastAsia="en-CA" w:bidi="en-CA"/>
      </w:rPr>
    </w:lvl>
    <w:lvl w:ilvl="3" w:tplc="6888B4F6">
      <w:numFmt w:val="bullet"/>
      <w:lvlText w:val="•"/>
      <w:lvlJc w:val="left"/>
      <w:pPr>
        <w:ind w:left="2478" w:hanging="360"/>
      </w:pPr>
      <w:rPr>
        <w:rFonts w:hint="default"/>
        <w:lang w:val="en-CA" w:eastAsia="en-CA" w:bidi="en-CA"/>
      </w:rPr>
    </w:lvl>
    <w:lvl w:ilvl="4" w:tplc="D12C43E0">
      <w:numFmt w:val="bullet"/>
      <w:lvlText w:val="•"/>
      <w:lvlJc w:val="left"/>
      <w:pPr>
        <w:ind w:left="3150" w:hanging="360"/>
      </w:pPr>
      <w:rPr>
        <w:rFonts w:hint="default"/>
        <w:lang w:val="en-CA" w:eastAsia="en-CA" w:bidi="en-CA"/>
      </w:rPr>
    </w:lvl>
    <w:lvl w:ilvl="5" w:tplc="641846DC">
      <w:numFmt w:val="bullet"/>
      <w:lvlText w:val="•"/>
      <w:lvlJc w:val="left"/>
      <w:pPr>
        <w:ind w:left="3823" w:hanging="360"/>
      </w:pPr>
      <w:rPr>
        <w:rFonts w:hint="default"/>
        <w:lang w:val="en-CA" w:eastAsia="en-CA" w:bidi="en-CA"/>
      </w:rPr>
    </w:lvl>
    <w:lvl w:ilvl="6" w:tplc="BF246BFE">
      <w:numFmt w:val="bullet"/>
      <w:lvlText w:val="•"/>
      <w:lvlJc w:val="left"/>
      <w:pPr>
        <w:ind w:left="4496" w:hanging="360"/>
      </w:pPr>
      <w:rPr>
        <w:rFonts w:hint="default"/>
        <w:lang w:val="en-CA" w:eastAsia="en-CA" w:bidi="en-CA"/>
      </w:rPr>
    </w:lvl>
    <w:lvl w:ilvl="7" w:tplc="4F140B9E">
      <w:numFmt w:val="bullet"/>
      <w:lvlText w:val="•"/>
      <w:lvlJc w:val="left"/>
      <w:pPr>
        <w:ind w:left="5168" w:hanging="360"/>
      </w:pPr>
      <w:rPr>
        <w:rFonts w:hint="default"/>
        <w:lang w:val="en-CA" w:eastAsia="en-CA" w:bidi="en-CA"/>
      </w:rPr>
    </w:lvl>
    <w:lvl w:ilvl="8" w:tplc="2BE8B7BC">
      <w:numFmt w:val="bullet"/>
      <w:lvlText w:val="•"/>
      <w:lvlJc w:val="left"/>
      <w:pPr>
        <w:ind w:left="5841" w:hanging="360"/>
      </w:pPr>
      <w:rPr>
        <w:rFonts w:hint="default"/>
        <w:lang w:val="en-CA" w:eastAsia="en-CA" w:bidi="en-C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31"/>
    <w:rsid w:val="000A1FCD"/>
    <w:rsid w:val="000D2DB5"/>
    <w:rsid w:val="000F641E"/>
    <w:rsid w:val="003924DD"/>
    <w:rsid w:val="003C35F9"/>
    <w:rsid w:val="006A1720"/>
    <w:rsid w:val="007A3B25"/>
    <w:rsid w:val="008249B4"/>
    <w:rsid w:val="008A4C7C"/>
    <w:rsid w:val="00924BAE"/>
    <w:rsid w:val="00B36104"/>
    <w:rsid w:val="00B80852"/>
    <w:rsid w:val="00BF2FC7"/>
    <w:rsid w:val="00D81181"/>
    <w:rsid w:val="00EC69C5"/>
    <w:rsid w:val="00EF0F9A"/>
    <w:rsid w:val="00F1662F"/>
    <w:rsid w:val="00F60EC1"/>
    <w:rsid w:val="00FB2A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DCBDC"/>
  <w15:docId w15:val="{CAD5AD8F-C995-44CA-B52F-1DDE2757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entury Gothic" w:eastAsia="Century Gothic" w:hAnsi="Century Gothic" w:cs="Century Gothic"/>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table" w:styleId="TableGrid">
    <w:name w:val="Table Grid"/>
    <w:basedOn w:val="TableNormal"/>
    <w:uiPriority w:val="39"/>
    <w:rsid w:val="003924DD"/>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4DD"/>
    <w:pPr>
      <w:widowControl/>
      <w:adjustRightInd w:val="0"/>
    </w:pPr>
    <w:rPr>
      <w:rFonts w:ascii="Calibri" w:hAnsi="Calibri" w:cs="Calibri"/>
      <w:color w:val="000000"/>
      <w:sz w:val="24"/>
      <w:szCs w:val="24"/>
      <w:lang w:val="en-CA"/>
    </w:rPr>
  </w:style>
  <w:style w:type="paragraph" w:styleId="Header">
    <w:name w:val="header"/>
    <w:basedOn w:val="Normal"/>
    <w:link w:val="HeaderChar"/>
    <w:uiPriority w:val="99"/>
    <w:unhideWhenUsed/>
    <w:rsid w:val="00B80852"/>
    <w:pPr>
      <w:widowControl/>
      <w:tabs>
        <w:tab w:val="center" w:pos="4680"/>
        <w:tab w:val="right" w:pos="9360"/>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B8085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rcy.Peel@gov.bc.ca" TargetMode="External"/><Relationship Id="rId13" Type="http://schemas.openxmlformats.org/officeDocument/2006/relationships/hyperlink" Target="https://engage.gov.bc.ca/caribou/section11agreement/" TargetMode="External"/><Relationship Id="rId3" Type="http://schemas.openxmlformats.org/officeDocument/2006/relationships/settings" Target="settings.xml"/><Relationship Id="rId7" Type="http://schemas.openxmlformats.org/officeDocument/2006/relationships/hyperlink" Target="mailto:David.Muter@gov.bc.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aws-lois.justice.gc.ca/eng/acts/s-15.3/FullText.html" TargetMode="External"/><Relationship Id="rId10" Type="http://schemas.openxmlformats.org/officeDocument/2006/relationships/hyperlink" Target="mailto:Joelle.Scheck@gov.bc.ca" TargetMode="External"/><Relationship Id="rId4" Type="http://schemas.openxmlformats.org/officeDocument/2006/relationships/webSettings" Target="webSettings.xml"/><Relationship Id="rId9" Type="http://schemas.openxmlformats.org/officeDocument/2006/relationships/hyperlink" Target="mailto:Russ.Laroche@gov.bc.ca" TargetMode="External"/><Relationship Id="rId14" Type="http://schemas.openxmlformats.org/officeDocument/2006/relationships/hyperlink" Target="https://laws-lois.justice.gc.ca/eng/acts/s-15.3/FullTex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Trina Wamboldt (Urban Systems)</dc:creator>
  <cp:lastModifiedBy>Trina Wamboldt (Urban Systems)</cp:lastModifiedBy>
  <cp:revision>2</cp:revision>
  <dcterms:created xsi:type="dcterms:W3CDTF">2020-01-16T07:15:00Z</dcterms:created>
  <dcterms:modified xsi:type="dcterms:W3CDTF">2020-01-16T07:15:00Z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for Office 365</vt:lpwstr>
  </property>
  <property fmtid="{D5CDD505-2E9C-101B-9397-08002B2CF9AE}" pid="4" name="LastSaved">
    <vt:filetime>2020-01-09T00:00:00Z</vt:filetime>
  </property>
</Properties>
</file>