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8F69" w14:textId="57CFEE4D" w:rsidR="00D97069" w:rsidRPr="0049316B" w:rsidRDefault="00D97069" w:rsidP="00D97069">
      <w:pPr>
        <w:jc w:val="center"/>
        <w:rPr>
          <w:rFonts w:ascii="Candara" w:hAnsi="Candara" w:cs="Adobe Devanagari"/>
          <w:b/>
          <w:bCs/>
          <w:sz w:val="28"/>
          <w:szCs w:val="28"/>
        </w:rPr>
      </w:pPr>
      <w:r w:rsidRPr="0049316B">
        <w:rPr>
          <w:rFonts w:ascii="Candara" w:hAnsi="Candara" w:cs="Adobe Devanagari"/>
          <w:b/>
          <w:bCs/>
          <w:sz w:val="28"/>
          <w:szCs w:val="28"/>
        </w:rPr>
        <w:t>Site C – OGMA Replacement</w:t>
      </w:r>
    </w:p>
    <w:p w14:paraId="7B32A155" w14:textId="7B49EED1" w:rsidR="00D97069" w:rsidRPr="0049316B" w:rsidRDefault="00D97069" w:rsidP="00D97069">
      <w:pPr>
        <w:jc w:val="center"/>
        <w:rPr>
          <w:rFonts w:ascii="Candara" w:hAnsi="Candara" w:cs="Adobe Devanagari"/>
          <w:b/>
          <w:bCs/>
          <w:sz w:val="24"/>
          <w:szCs w:val="24"/>
        </w:rPr>
      </w:pPr>
      <w:r w:rsidRPr="0049316B">
        <w:rPr>
          <w:rFonts w:ascii="Candara" w:hAnsi="Candara" w:cs="Adobe Devanagari"/>
          <w:b/>
          <w:bCs/>
          <w:sz w:val="24"/>
          <w:szCs w:val="24"/>
        </w:rPr>
        <w:t xml:space="preserve">Information Sheet </w:t>
      </w:r>
    </w:p>
    <w:p w14:paraId="60643330" w14:textId="1D2CBEA3" w:rsidR="00D97069" w:rsidRPr="000108C9" w:rsidRDefault="00D97069" w:rsidP="00D97069">
      <w:pPr>
        <w:jc w:val="both"/>
        <w:rPr>
          <w:rFonts w:ascii="Candara" w:hAnsi="Candara" w:cs="Adobe Devanagari"/>
          <w:b/>
          <w:bCs/>
          <w:sz w:val="24"/>
          <w:szCs w:val="24"/>
          <w:u w:val="single"/>
        </w:rPr>
      </w:pPr>
      <w:r w:rsidRPr="000108C9">
        <w:rPr>
          <w:rFonts w:ascii="Candara" w:hAnsi="Candara" w:cs="Adobe Devanagari"/>
          <w:b/>
          <w:bCs/>
          <w:sz w:val="24"/>
          <w:szCs w:val="24"/>
          <w:u w:val="single"/>
        </w:rPr>
        <w:t>Background:</w:t>
      </w:r>
    </w:p>
    <w:p w14:paraId="7F0C9545" w14:textId="77777777" w:rsidR="00D97069" w:rsidRPr="0049316B" w:rsidRDefault="00D97069" w:rsidP="00D97069">
      <w:pPr>
        <w:widowControl w:val="0"/>
        <w:spacing w:line="360" w:lineRule="auto"/>
        <w:jc w:val="both"/>
        <w:rPr>
          <w:rFonts w:ascii="Candara" w:hAnsi="Candara" w:cs="Adobe Devanagari"/>
          <w:sz w:val="20"/>
          <w:szCs w:val="20"/>
        </w:rPr>
      </w:pPr>
      <w:r w:rsidRPr="0049316B">
        <w:rPr>
          <w:rFonts w:ascii="Candara" w:hAnsi="Candara" w:cs="Adobe Devanagari"/>
          <w:sz w:val="20"/>
          <w:szCs w:val="20"/>
        </w:rPr>
        <w:t xml:space="preserve">While “old growth” can be defined in several ways, simply, it can be described as forests containing old trees. The values associated with old growth forests are numerous, including biodiversity values, ecosystem values (i.e. water storage, fire resistance, carbon storage), cultural values, and community values (i.e. recreation, aesthetics) and commercial forestry values. </w:t>
      </w:r>
    </w:p>
    <w:p w14:paraId="20C77A4B" w14:textId="0BB096F0" w:rsidR="00D97069" w:rsidRPr="0049316B" w:rsidRDefault="00D97069" w:rsidP="00D97069">
      <w:pPr>
        <w:widowControl w:val="0"/>
        <w:spacing w:line="360" w:lineRule="auto"/>
        <w:jc w:val="both"/>
        <w:rPr>
          <w:rFonts w:ascii="Candara" w:hAnsi="Candara" w:cs="Adobe Devanagari"/>
          <w:sz w:val="20"/>
          <w:szCs w:val="20"/>
        </w:rPr>
      </w:pPr>
      <w:r w:rsidRPr="0049316B">
        <w:rPr>
          <w:rFonts w:ascii="Candara" w:hAnsi="Candara" w:cs="Adobe Devanagari"/>
          <w:sz w:val="20"/>
          <w:szCs w:val="20"/>
        </w:rPr>
        <w:t>Old-growth Management Areas (OGMA</w:t>
      </w:r>
      <w:r w:rsidR="00407681">
        <w:rPr>
          <w:rFonts w:ascii="Candara" w:hAnsi="Candara" w:cs="Adobe Devanagari"/>
          <w:sz w:val="20"/>
          <w:szCs w:val="20"/>
        </w:rPr>
        <w:t>s</w:t>
      </w:r>
      <w:r w:rsidRPr="0049316B">
        <w:rPr>
          <w:rFonts w:ascii="Candara" w:hAnsi="Candara" w:cs="Adobe Devanagari"/>
          <w:sz w:val="20"/>
          <w:szCs w:val="20"/>
        </w:rPr>
        <w:t xml:space="preserve">) are legally defined areas that contain, or are managed to attain, specific structural old-growth attributes. From a management perspective in BC, old forests are those in which the dominant trees are older than 250 years on the coast and 140 years in the interior. In the Dawson Creek Timber Supply Area (TSA), deciduous forests of 100 years and mixed forests of 120 years are considered “old”. </w:t>
      </w:r>
    </w:p>
    <w:p w14:paraId="1FAB5D66" w14:textId="4617F3CB" w:rsidR="00D97069" w:rsidRPr="0049316B" w:rsidRDefault="00D97069" w:rsidP="00D97069">
      <w:pPr>
        <w:widowControl w:val="0"/>
        <w:spacing w:line="360" w:lineRule="auto"/>
        <w:jc w:val="both"/>
        <w:rPr>
          <w:rFonts w:ascii="Candara" w:hAnsi="Candara" w:cs="Adobe Devanagari"/>
          <w:sz w:val="20"/>
          <w:szCs w:val="20"/>
        </w:rPr>
      </w:pPr>
      <w:bookmarkStart w:id="0" w:name="_Hlk70543213"/>
      <w:r w:rsidRPr="0049316B">
        <w:rPr>
          <w:rFonts w:ascii="Candara" w:hAnsi="Candara" w:cs="Adobe Devanagari"/>
          <w:sz w:val="20"/>
          <w:szCs w:val="20"/>
        </w:rPr>
        <w:t xml:space="preserve">In May 2009, the Northeast Region identified and designated approximately 190,400 hectares of forests as OGMA in the Dawson Creek TSA. With 117,780 hectares of old forests already protected under </w:t>
      </w:r>
      <w:r w:rsidR="00087694" w:rsidRPr="0049316B">
        <w:rPr>
          <w:rFonts w:ascii="Candara" w:hAnsi="Candara" w:cs="Adobe Devanagari"/>
          <w:sz w:val="20"/>
          <w:szCs w:val="20"/>
        </w:rPr>
        <w:t xml:space="preserve">different statutory </w:t>
      </w:r>
      <w:r w:rsidRPr="0049316B">
        <w:rPr>
          <w:rFonts w:ascii="Candara" w:hAnsi="Candara" w:cs="Adobe Devanagari"/>
          <w:sz w:val="20"/>
          <w:szCs w:val="20"/>
        </w:rPr>
        <w:t>mechanisms, there is approximately 308,200 hectares of old growth forest protected in Dawson Creek TSA</w:t>
      </w:r>
      <w:bookmarkEnd w:id="0"/>
      <w:r w:rsidRPr="0049316B">
        <w:rPr>
          <w:rFonts w:ascii="Candara" w:hAnsi="Candara" w:cs="Adobe Devanagari"/>
          <w:sz w:val="20"/>
          <w:szCs w:val="20"/>
        </w:rPr>
        <w:t xml:space="preserve">. </w:t>
      </w:r>
    </w:p>
    <w:p w14:paraId="0C2AD6D8" w14:textId="77777777" w:rsidR="00D97069" w:rsidRPr="000108C9" w:rsidRDefault="00D97069" w:rsidP="00D97069">
      <w:pPr>
        <w:jc w:val="both"/>
        <w:rPr>
          <w:rFonts w:ascii="Candara" w:hAnsi="Candara" w:cs="Adobe Devanagari"/>
          <w:b/>
          <w:bCs/>
          <w:sz w:val="24"/>
          <w:szCs w:val="24"/>
          <w:u w:val="single"/>
        </w:rPr>
      </w:pPr>
      <w:r w:rsidRPr="000108C9">
        <w:rPr>
          <w:rFonts w:ascii="Candara" w:hAnsi="Candara" w:cs="Adobe Devanagari"/>
          <w:b/>
          <w:bCs/>
          <w:sz w:val="24"/>
          <w:szCs w:val="24"/>
          <w:u w:val="single"/>
        </w:rPr>
        <w:t xml:space="preserve">Site C: </w:t>
      </w:r>
    </w:p>
    <w:p w14:paraId="01409967" w14:textId="51E6731E" w:rsidR="00D97069" w:rsidRPr="0049316B" w:rsidRDefault="00D97069" w:rsidP="00D97069">
      <w:pPr>
        <w:widowControl w:val="0"/>
        <w:spacing w:line="360" w:lineRule="auto"/>
        <w:jc w:val="both"/>
        <w:rPr>
          <w:rFonts w:ascii="Candara" w:hAnsi="Candara" w:cs="Adobe Devanagari"/>
          <w:sz w:val="20"/>
          <w:szCs w:val="20"/>
        </w:rPr>
      </w:pPr>
      <w:r w:rsidRPr="0049316B">
        <w:rPr>
          <w:rFonts w:ascii="Candara" w:hAnsi="Candara" w:cs="Adobe Devanagari"/>
          <w:sz w:val="20"/>
          <w:szCs w:val="20"/>
        </w:rPr>
        <w:t>In 2015, BC Hydro obtained the necessary authorizations to construct and operate the Site C Clean Energy Project on the Peace River. The footprint of the project will have an impact on OGMAs in the Dawson Creek TSA. While some degree of incursion is allowable, the Site C project exceeds that amount. In particular, the reservoir, dam, and road will impact a total of 3177.31 hectares over 9 OGMAs</w:t>
      </w:r>
      <w:r w:rsidR="00087694" w:rsidRPr="0049316B">
        <w:rPr>
          <w:rFonts w:ascii="Candara" w:hAnsi="Candara" w:cs="Adobe Devanagari"/>
          <w:sz w:val="20"/>
          <w:szCs w:val="20"/>
        </w:rPr>
        <w:t xml:space="preserve"> (see </w:t>
      </w:r>
      <w:r w:rsidR="00C81E61" w:rsidRPr="0049316B">
        <w:rPr>
          <w:rFonts w:ascii="Candara" w:hAnsi="Candara" w:cs="Adobe Devanagari"/>
          <w:sz w:val="20"/>
          <w:szCs w:val="20"/>
        </w:rPr>
        <w:t xml:space="preserve">Figure 1 and </w:t>
      </w:r>
      <w:r w:rsidR="00087694" w:rsidRPr="0049316B">
        <w:rPr>
          <w:rFonts w:ascii="Candara" w:hAnsi="Candara" w:cs="Adobe Devanagari"/>
          <w:sz w:val="20"/>
          <w:szCs w:val="20"/>
        </w:rPr>
        <w:t>Table 1 below for further details)</w:t>
      </w:r>
      <w:r w:rsidRPr="0049316B">
        <w:rPr>
          <w:rFonts w:ascii="Candara" w:hAnsi="Candara" w:cs="Adobe Devanagari"/>
          <w:sz w:val="20"/>
          <w:szCs w:val="20"/>
        </w:rPr>
        <w:t xml:space="preserve">. These areas need to be replaced. </w:t>
      </w:r>
    </w:p>
    <w:p w14:paraId="41380903" w14:textId="77777777" w:rsidR="00C81E61" w:rsidRPr="000108C9" w:rsidRDefault="00C81E61" w:rsidP="00C81E61">
      <w:pPr>
        <w:jc w:val="both"/>
        <w:rPr>
          <w:rFonts w:ascii="Candara" w:hAnsi="Candara" w:cs="Adobe Devanagari"/>
          <w:b/>
          <w:bCs/>
          <w:sz w:val="24"/>
          <w:szCs w:val="24"/>
          <w:u w:val="single"/>
        </w:rPr>
      </w:pPr>
      <w:r w:rsidRPr="000108C9">
        <w:rPr>
          <w:rFonts w:ascii="Candara" w:hAnsi="Candara" w:cs="Adobe Devanagari"/>
          <w:b/>
          <w:bCs/>
          <w:sz w:val="24"/>
          <w:szCs w:val="24"/>
          <w:u w:val="single"/>
        </w:rPr>
        <w:t>Process:</w:t>
      </w:r>
    </w:p>
    <w:p w14:paraId="1DBEA0B1" w14:textId="032E9120" w:rsidR="00C81E61" w:rsidRPr="0049316B" w:rsidRDefault="00C81E61" w:rsidP="00C81E61">
      <w:pPr>
        <w:widowControl w:val="0"/>
        <w:spacing w:line="360" w:lineRule="auto"/>
        <w:jc w:val="both"/>
        <w:rPr>
          <w:rFonts w:ascii="Candara" w:hAnsi="Candara" w:cs="Adobe Devanagari"/>
          <w:sz w:val="20"/>
          <w:szCs w:val="20"/>
        </w:rPr>
      </w:pPr>
      <w:r w:rsidRPr="0049316B">
        <w:rPr>
          <w:rFonts w:ascii="Candara" w:hAnsi="Candara" w:cs="Adobe Devanagari"/>
          <w:sz w:val="20"/>
          <w:szCs w:val="20"/>
        </w:rPr>
        <w:t xml:space="preserve">The Ministry of Forests, Lands, Natural Resource Operations and Rural Development (FLNRORD) intends to work with First Nations and Forestry Licensees, using the most current geospatial information held by the Province to develop candidate OGMA replacement sites. The candidate sites will be thoroughly reviewed to understand any potential impacts of designating the land as an OGMA, including positive and negative impacts to forestry values and biodiversity values. There will be an opportunity for interested parties to have input into the process, including a 30-day public review period before a decision is made. </w:t>
      </w:r>
    </w:p>
    <w:p w14:paraId="35276FA8" w14:textId="30E8AC4A" w:rsidR="00C81E61" w:rsidRPr="0049316B" w:rsidRDefault="00C81E61" w:rsidP="00C81E61">
      <w:pPr>
        <w:widowControl w:val="0"/>
        <w:spacing w:line="360" w:lineRule="auto"/>
        <w:jc w:val="both"/>
        <w:rPr>
          <w:rFonts w:ascii="Candara" w:hAnsi="Candara" w:cs="Adobe Devanagari"/>
          <w:sz w:val="20"/>
          <w:szCs w:val="20"/>
        </w:rPr>
      </w:pPr>
      <w:r w:rsidRPr="0049316B">
        <w:rPr>
          <w:rFonts w:ascii="Candara" w:hAnsi="Candara" w:cs="Adobe Devanagari"/>
          <w:sz w:val="20"/>
          <w:szCs w:val="20"/>
        </w:rPr>
        <w:t xml:space="preserve">If you have any questions or need further information, </w:t>
      </w:r>
      <w:r w:rsidRPr="00831379">
        <w:rPr>
          <w:rFonts w:ascii="Candara" w:hAnsi="Candara" w:cs="Adobe Devanagari"/>
          <w:sz w:val="20"/>
          <w:szCs w:val="20"/>
        </w:rPr>
        <w:t xml:space="preserve">please contact </w:t>
      </w:r>
      <w:r w:rsidRPr="00831379">
        <w:rPr>
          <w:rFonts w:ascii="Candara" w:hAnsi="Candara" w:cs="Adobe Devanagari"/>
          <w:b/>
          <w:bCs/>
          <w:sz w:val="20"/>
          <w:szCs w:val="20"/>
        </w:rPr>
        <w:t xml:space="preserve">Lisa Brock </w:t>
      </w:r>
      <w:r w:rsidR="00831379" w:rsidRPr="00831379">
        <w:rPr>
          <w:rFonts w:ascii="Candara" w:hAnsi="Candara" w:cs="Adobe Devanagari"/>
          <w:sz w:val="20"/>
          <w:szCs w:val="20"/>
        </w:rPr>
        <w:t xml:space="preserve">at </w:t>
      </w:r>
      <w:hyperlink r:id="rId6" w:history="1">
        <w:r w:rsidR="00831379" w:rsidRPr="00831379">
          <w:rPr>
            <w:rStyle w:val="Hyperlink"/>
            <w:rFonts w:ascii="Candara" w:hAnsi="Candara" w:cs="Adobe Devanagari"/>
            <w:sz w:val="20"/>
            <w:szCs w:val="20"/>
          </w:rPr>
          <w:t>lisa.brock@gov.bc.ca</w:t>
        </w:r>
      </w:hyperlink>
      <w:r w:rsidR="00831379">
        <w:rPr>
          <w:rFonts w:ascii="Candara" w:hAnsi="Candara" w:cs="Adobe Devanagari"/>
          <w:b/>
          <w:bCs/>
          <w:sz w:val="20"/>
          <w:szCs w:val="20"/>
        </w:rPr>
        <w:t xml:space="preserve"> </w:t>
      </w:r>
      <w:r w:rsidR="00831379" w:rsidRPr="00831379">
        <w:rPr>
          <w:rFonts w:ascii="Candara" w:hAnsi="Candara" w:cs="Adobe Devanagari"/>
          <w:sz w:val="20"/>
          <w:szCs w:val="20"/>
        </w:rPr>
        <w:t xml:space="preserve">or leave a message at </w:t>
      </w:r>
      <w:r w:rsidRPr="00831379">
        <w:rPr>
          <w:rFonts w:ascii="Candara" w:hAnsi="Candara" w:cs="Adobe Devanagari"/>
          <w:b/>
          <w:bCs/>
          <w:sz w:val="20"/>
          <w:szCs w:val="20"/>
        </w:rPr>
        <w:t>(778)</w:t>
      </w:r>
      <w:r w:rsidRPr="0049316B">
        <w:rPr>
          <w:rFonts w:ascii="Candara" w:hAnsi="Candara" w:cs="Adobe Devanagari"/>
          <w:b/>
          <w:bCs/>
          <w:sz w:val="20"/>
          <w:szCs w:val="20"/>
        </w:rPr>
        <w:t xml:space="preserve"> 576 8924</w:t>
      </w:r>
      <w:r w:rsidR="00831379">
        <w:rPr>
          <w:rFonts w:ascii="Candara" w:hAnsi="Candara" w:cs="Adobe Devanagari"/>
          <w:b/>
          <w:bCs/>
          <w:sz w:val="20"/>
          <w:szCs w:val="20"/>
        </w:rPr>
        <w:t xml:space="preserve">, and </w:t>
      </w:r>
      <w:r w:rsidRPr="0049316B">
        <w:rPr>
          <w:rFonts w:ascii="Candara" w:hAnsi="Candara" w:cs="Adobe Devanagari"/>
          <w:sz w:val="20"/>
          <w:szCs w:val="20"/>
        </w:rPr>
        <w:t xml:space="preserve">someone will return your call as soon as possible. </w:t>
      </w:r>
    </w:p>
    <w:p w14:paraId="36AC4718" w14:textId="6182443F" w:rsidR="00C81E61" w:rsidRPr="0049316B" w:rsidRDefault="00C81E61" w:rsidP="00D97069">
      <w:pPr>
        <w:widowControl w:val="0"/>
        <w:spacing w:line="360" w:lineRule="auto"/>
        <w:jc w:val="both"/>
        <w:rPr>
          <w:rFonts w:ascii="Candara" w:hAnsi="Candara" w:cs="Adobe Devanagari"/>
          <w:b/>
          <w:bCs/>
        </w:rPr>
      </w:pPr>
      <w:r w:rsidRPr="0049316B">
        <w:rPr>
          <w:rFonts w:ascii="Candara" w:hAnsi="Candara" w:cs="Adobe Devanagari"/>
          <w:b/>
          <w:bCs/>
        </w:rPr>
        <w:lastRenderedPageBreak/>
        <w:t>Table 1: Incursion details</w:t>
      </w:r>
    </w:p>
    <w:tbl>
      <w:tblPr>
        <w:tblStyle w:val="TableGrid"/>
        <w:tblW w:w="0" w:type="auto"/>
        <w:tblLook w:val="04A0" w:firstRow="1" w:lastRow="0" w:firstColumn="1" w:lastColumn="0" w:noHBand="0" w:noVBand="1"/>
      </w:tblPr>
      <w:tblGrid>
        <w:gridCol w:w="1271"/>
        <w:gridCol w:w="1276"/>
        <w:gridCol w:w="2126"/>
        <w:gridCol w:w="1559"/>
        <w:gridCol w:w="3118"/>
      </w:tblGrid>
      <w:tr w:rsidR="00D97069" w:rsidRPr="0049316B" w14:paraId="71A7527A" w14:textId="77777777" w:rsidTr="00005079">
        <w:tc>
          <w:tcPr>
            <w:tcW w:w="1271" w:type="dxa"/>
          </w:tcPr>
          <w:p w14:paraId="6D2C64D5" w14:textId="11CE37AD" w:rsidR="00D97069" w:rsidRPr="0049316B" w:rsidRDefault="00D97069" w:rsidP="00AE2539">
            <w:pPr>
              <w:widowControl w:val="0"/>
              <w:jc w:val="both"/>
              <w:rPr>
                <w:rFonts w:ascii="Candara" w:hAnsi="Candara" w:cs="Aparajita"/>
                <w:b/>
                <w:bCs/>
              </w:rPr>
            </w:pPr>
            <w:r w:rsidRPr="0049316B">
              <w:rPr>
                <w:rFonts w:ascii="Candara" w:hAnsi="Candara" w:cs="Aparajita"/>
                <w:b/>
                <w:bCs/>
              </w:rPr>
              <w:t>OGMA</w:t>
            </w:r>
          </w:p>
        </w:tc>
        <w:tc>
          <w:tcPr>
            <w:tcW w:w="1276" w:type="dxa"/>
          </w:tcPr>
          <w:p w14:paraId="5B253610" w14:textId="31B22FC3" w:rsidR="00D97069" w:rsidRPr="0049316B" w:rsidRDefault="00D97069" w:rsidP="00AE2539">
            <w:pPr>
              <w:widowControl w:val="0"/>
              <w:jc w:val="center"/>
              <w:rPr>
                <w:rFonts w:ascii="Candara" w:hAnsi="Candara" w:cs="Aparajita"/>
                <w:b/>
                <w:bCs/>
              </w:rPr>
            </w:pPr>
            <w:r w:rsidRPr="0049316B">
              <w:rPr>
                <w:rFonts w:ascii="Candara" w:hAnsi="Candara" w:cs="Aparajita"/>
                <w:b/>
                <w:bCs/>
              </w:rPr>
              <w:t>Area</w:t>
            </w:r>
          </w:p>
        </w:tc>
        <w:tc>
          <w:tcPr>
            <w:tcW w:w="2126" w:type="dxa"/>
          </w:tcPr>
          <w:p w14:paraId="3D97F93A" w14:textId="701A494D" w:rsidR="00D97069" w:rsidRPr="0049316B" w:rsidRDefault="00D97069" w:rsidP="00AE2539">
            <w:pPr>
              <w:widowControl w:val="0"/>
              <w:jc w:val="center"/>
              <w:rPr>
                <w:rFonts w:ascii="Candara" w:hAnsi="Candara" w:cs="Aparajita"/>
                <w:b/>
                <w:bCs/>
              </w:rPr>
            </w:pPr>
            <w:r w:rsidRPr="0049316B">
              <w:rPr>
                <w:rFonts w:ascii="Candara" w:hAnsi="Candara" w:cs="Aparajita"/>
                <w:b/>
                <w:bCs/>
              </w:rPr>
              <w:t>OGMA Intactness (%)</w:t>
            </w:r>
          </w:p>
        </w:tc>
        <w:tc>
          <w:tcPr>
            <w:tcW w:w="1559" w:type="dxa"/>
          </w:tcPr>
          <w:p w14:paraId="0A40F1C0" w14:textId="6430B609" w:rsidR="00D97069" w:rsidRPr="0049316B" w:rsidRDefault="00D97069" w:rsidP="00AE2539">
            <w:pPr>
              <w:widowControl w:val="0"/>
              <w:jc w:val="center"/>
              <w:rPr>
                <w:rFonts w:ascii="Candara" w:hAnsi="Candara" w:cs="Aparajita"/>
                <w:b/>
                <w:bCs/>
              </w:rPr>
            </w:pPr>
            <w:r w:rsidRPr="0049316B">
              <w:rPr>
                <w:rFonts w:ascii="Candara" w:hAnsi="Candara" w:cs="Aparajita"/>
                <w:b/>
                <w:bCs/>
              </w:rPr>
              <w:t>Incursion</w:t>
            </w:r>
          </w:p>
        </w:tc>
        <w:tc>
          <w:tcPr>
            <w:tcW w:w="3118" w:type="dxa"/>
          </w:tcPr>
          <w:p w14:paraId="788717C1" w14:textId="207057D0" w:rsidR="00D97069" w:rsidRPr="0049316B" w:rsidRDefault="00D97069" w:rsidP="00AE2539">
            <w:pPr>
              <w:widowControl w:val="0"/>
              <w:jc w:val="both"/>
              <w:rPr>
                <w:rFonts w:ascii="Candara" w:hAnsi="Candara" w:cs="Aparajita"/>
                <w:b/>
                <w:bCs/>
              </w:rPr>
            </w:pPr>
            <w:r w:rsidRPr="0049316B">
              <w:rPr>
                <w:rFonts w:ascii="Candara" w:hAnsi="Candara" w:cs="Aparajita"/>
                <w:b/>
                <w:bCs/>
              </w:rPr>
              <w:t>Other Values</w:t>
            </w:r>
          </w:p>
        </w:tc>
      </w:tr>
      <w:tr w:rsidR="00D97069" w:rsidRPr="0049316B" w14:paraId="71E47D89" w14:textId="77777777" w:rsidTr="00005079">
        <w:tc>
          <w:tcPr>
            <w:tcW w:w="1271" w:type="dxa"/>
          </w:tcPr>
          <w:p w14:paraId="3B140CD4" w14:textId="2C918956" w:rsidR="00D97069"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DC_lmo_1</w:t>
            </w:r>
          </w:p>
        </w:tc>
        <w:tc>
          <w:tcPr>
            <w:tcW w:w="1276" w:type="dxa"/>
          </w:tcPr>
          <w:p w14:paraId="0B3CFA42" w14:textId="46816D2E"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369</w:t>
            </w:r>
          </w:p>
        </w:tc>
        <w:tc>
          <w:tcPr>
            <w:tcW w:w="2126" w:type="dxa"/>
          </w:tcPr>
          <w:p w14:paraId="3D597644" w14:textId="14C90A1D"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95.2</w:t>
            </w:r>
          </w:p>
        </w:tc>
        <w:tc>
          <w:tcPr>
            <w:tcW w:w="1559" w:type="dxa"/>
          </w:tcPr>
          <w:p w14:paraId="2C1AE2B3" w14:textId="1CA57724"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10.62 (2.9%)</w:t>
            </w:r>
          </w:p>
        </w:tc>
        <w:tc>
          <w:tcPr>
            <w:tcW w:w="3118" w:type="dxa"/>
          </w:tcPr>
          <w:p w14:paraId="1E77B842" w14:textId="3D6B704E" w:rsidR="00D97069" w:rsidRPr="0049316B" w:rsidRDefault="00447EED"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lang w:val="en-CA"/>
              </w:rPr>
              <w:t>Contains Trumpeter Swan nesting site.</w:t>
            </w:r>
          </w:p>
        </w:tc>
      </w:tr>
      <w:tr w:rsidR="00D97069" w:rsidRPr="0049316B" w14:paraId="2D72F65A" w14:textId="77777777" w:rsidTr="00005079">
        <w:tc>
          <w:tcPr>
            <w:tcW w:w="1271" w:type="dxa"/>
          </w:tcPr>
          <w:p w14:paraId="65B0EE7F" w14:textId="2D97FD3F" w:rsidR="00D97069"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DC_lmo_2</w:t>
            </w:r>
          </w:p>
        </w:tc>
        <w:tc>
          <w:tcPr>
            <w:tcW w:w="1276" w:type="dxa"/>
          </w:tcPr>
          <w:p w14:paraId="4FBA768C" w14:textId="06E50B9C"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430.6</w:t>
            </w:r>
          </w:p>
        </w:tc>
        <w:tc>
          <w:tcPr>
            <w:tcW w:w="2126" w:type="dxa"/>
          </w:tcPr>
          <w:p w14:paraId="3F62AEBA" w14:textId="7800FB51" w:rsidR="00D97069" w:rsidRPr="0049316B" w:rsidRDefault="007A6191" w:rsidP="00AE253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92.9</w:t>
            </w:r>
          </w:p>
        </w:tc>
        <w:tc>
          <w:tcPr>
            <w:tcW w:w="1559" w:type="dxa"/>
          </w:tcPr>
          <w:p w14:paraId="47D5F58E" w14:textId="54B90785" w:rsidR="00D97069" w:rsidRPr="0049316B" w:rsidRDefault="00447EED" w:rsidP="00AE2539">
            <w:pPr>
              <w:widowControl w:val="0"/>
              <w:spacing w:line="360" w:lineRule="auto"/>
              <w:jc w:val="center"/>
              <w:rPr>
                <w:rFonts w:ascii="Candara" w:hAnsi="Candara" w:cs="Adobe Devanagari"/>
                <w:sz w:val="18"/>
                <w:szCs w:val="18"/>
              </w:rPr>
            </w:pPr>
            <w:r w:rsidRPr="0049316B">
              <w:rPr>
                <w:rFonts w:ascii="Candara" w:hAnsi="Candara" w:cs="Adobe Devanagari"/>
                <w:color w:val="FF0000"/>
                <w:sz w:val="18"/>
                <w:szCs w:val="18"/>
              </w:rPr>
              <w:t>23.45 (5.4%)</w:t>
            </w:r>
          </w:p>
        </w:tc>
        <w:tc>
          <w:tcPr>
            <w:tcW w:w="3118" w:type="dxa"/>
          </w:tcPr>
          <w:p w14:paraId="763A1635" w14:textId="286E015B" w:rsidR="00D97069" w:rsidRPr="0049316B" w:rsidRDefault="00447EED"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lang w:val="en-CA"/>
              </w:rPr>
              <w:t>Contains Trumpeter Swan nesting site.</w:t>
            </w:r>
          </w:p>
        </w:tc>
      </w:tr>
      <w:tr w:rsidR="00D97069" w:rsidRPr="0049316B" w14:paraId="148915A1" w14:textId="77777777" w:rsidTr="00005079">
        <w:tc>
          <w:tcPr>
            <w:tcW w:w="1271" w:type="dxa"/>
          </w:tcPr>
          <w:p w14:paraId="2E61A15B" w14:textId="3DFE584D" w:rsidR="00D97069"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DC_lmo_5</w:t>
            </w:r>
          </w:p>
        </w:tc>
        <w:tc>
          <w:tcPr>
            <w:tcW w:w="1276" w:type="dxa"/>
          </w:tcPr>
          <w:p w14:paraId="7277DE8C" w14:textId="3FFA01A4"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267.1</w:t>
            </w:r>
          </w:p>
        </w:tc>
        <w:tc>
          <w:tcPr>
            <w:tcW w:w="2126" w:type="dxa"/>
          </w:tcPr>
          <w:p w14:paraId="7BA18D6D" w14:textId="18DAEBC8" w:rsidR="00D97069" w:rsidRPr="0049316B" w:rsidRDefault="007A6191" w:rsidP="00AE253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94.6</w:t>
            </w:r>
          </w:p>
        </w:tc>
        <w:tc>
          <w:tcPr>
            <w:tcW w:w="1559" w:type="dxa"/>
          </w:tcPr>
          <w:p w14:paraId="7FBB9670" w14:textId="58BB2B6B" w:rsidR="00D97069" w:rsidRPr="0049316B" w:rsidRDefault="00447EED"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7.33 (2.7%)</w:t>
            </w:r>
          </w:p>
        </w:tc>
        <w:tc>
          <w:tcPr>
            <w:tcW w:w="3118" w:type="dxa"/>
          </w:tcPr>
          <w:p w14:paraId="5A875307" w14:textId="34D63485" w:rsidR="00D97069" w:rsidRPr="0049316B" w:rsidRDefault="00447EED"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Contains WHA for Warblers</w:t>
            </w:r>
          </w:p>
        </w:tc>
      </w:tr>
      <w:tr w:rsidR="00D97069" w:rsidRPr="0049316B" w14:paraId="53765BBD" w14:textId="77777777" w:rsidTr="00005079">
        <w:tc>
          <w:tcPr>
            <w:tcW w:w="1271" w:type="dxa"/>
          </w:tcPr>
          <w:p w14:paraId="6A0F6C0C" w14:textId="3C065F68" w:rsidR="00D97069"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DC_lmo_7</w:t>
            </w:r>
          </w:p>
        </w:tc>
        <w:tc>
          <w:tcPr>
            <w:tcW w:w="1276" w:type="dxa"/>
          </w:tcPr>
          <w:p w14:paraId="6CB0E8CA" w14:textId="48EC546A"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1480.9</w:t>
            </w:r>
          </w:p>
        </w:tc>
        <w:tc>
          <w:tcPr>
            <w:tcW w:w="2126" w:type="dxa"/>
          </w:tcPr>
          <w:p w14:paraId="59DF84D1" w14:textId="13FDFD9C"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98.8</w:t>
            </w:r>
          </w:p>
        </w:tc>
        <w:tc>
          <w:tcPr>
            <w:tcW w:w="1559" w:type="dxa"/>
          </w:tcPr>
          <w:p w14:paraId="6EF73471" w14:textId="12DC5DD1" w:rsidR="00D97069" w:rsidRPr="0049316B" w:rsidRDefault="00447EED"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16.64 (1.1%)</w:t>
            </w:r>
          </w:p>
        </w:tc>
        <w:tc>
          <w:tcPr>
            <w:tcW w:w="3118" w:type="dxa"/>
          </w:tcPr>
          <w:p w14:paraId="1CA3D02F" w14:textId="601428BD" w:rsidR="00D97069" w:rsidRPr="0049316B" w:rsidRDefault="00447EED"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lang w:val="en-CA"/>
              </w:rPr>
              <w:t>Contains Trumpeter Swan nesting site.</w:t>
            </w:r>
          </w:p>
        </w:tc>
      </w:tr>
      <w:tr w:rsidR="00D97069" w:rsidRPr="0049316B" w14:paraId="3F04AF67" w14:textId="77777777" w:rsidTr="00005079">
        <w:tc>
          <w:tcPr>
            <w:tcW w:w="1271" w:type="dxa"/>
          </w:tcPr>
          <w:p w14:paraId="7EAA3221" w14:textId="60272EC1" w:rsidR="00D97069"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DC_lmo_8</w:t>
            </w:r>
          </w:p>
        </w:tc>
        <w:tc>
          <w:tcPr>
            <w:tcW w:w="1276" w:type="dxa"/>
          </w:tcPr>
          <w:p w14:paraId="62521F56" w14:textId="1EF83646"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525</w:t>
            </w:r>
          </w:p>
        </w:tc>
        <w:tc>
          <w:tcPr>
            <w:tcW w:w="2126" w:type="dxa"/>
          </w:tcPr>
          <w:p w14:paraId="0389101F" w14:textId="44F0587A" w:rsidR="00D97069"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97.8</w:t>
            </w:r>
          </w:p>
        </w:tc>
        <w:tc>
          <w:tcPr>
            <w:tcW w:w="1559" w:type="dxa"/>
          </w:tcPr>
          <w:p w14:paraId="3C3C1BA0" w14:textId="0505A714" w:rsidR="00D97069" w:rsidRPr="0049316B" w:rsidRDefault="00447EED"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0.54 (0.1%)</w:t>
            </w:r>
          </w:p>
        </w:tc>
        <w:tc>
          <w:tcPr>
            <w:tcW w:w="3118" w:type="dxa"/>
          </w:tcPr>
          <w:p w14:paraId="68FCA2F6" w14:textId="77777777" w:rsidR="00D97069" w:rsidRPr="0049316B" w:rsidRDefault="00D97069" w:rsidP="00D97069">
            <w:pPr>
              <w:widowControl w:val="0"/>
              <w:spacing w:line="360" w:lineRule="auto"/>
              <w:jc w:val="both"/>
              <w:rPr>
                <w:rFonts w:ascii="Candara" w:hAnsi="Candara" w:cs="Adobe Devanagari"/>
                <w:sz w:val="18"/>
                <w:szCs w:val="18"/>
              </w:rPr>
            </w:pPr>
          </w:p>
        </w:tc>
      </w:tr>
      <w:tr w:rsidR="007A6191" w:rsidRPr="0049316B" w14:paraId="2A00C19B" w14:textId="77777777" w:rsidTr="00005079">
        <w:tc>
          <w:tcPr>
            <w:tcW w:w="1271" w:type="dxa"/>
          </w:tcPr>
          <w:p w14:paraId="75D000BA" w14:textId="6AD38B9F" w:rsidR="007A6191"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DC_lmo_11</w:t>
            </w:r>
          </w:p>
        </w:tc>
        <w:tc>
          <w:tcPr>
            <w:tcW w:w="1276" w:type="dxa"/>
          </w:tcPr>
          <w:p w14:paraId="47B8DBF3" w14:textId="0358952C" w:rsidR="007A6191"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3327.8</w:t>
            </w:r>
          </w:p>
        </w:tc>
        <w:tc>
          <w:tcPr>
            <w:tcW w:w="2126" w:type="dxa"/>
          </w:tcPr>
          <w:p w14:paraId="19DAE733" w14:textId="2AD9755F" w:rsidR="007A6191"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97.7</w:t>
            </w:r>
          </w:p>
        </w:tc>
        <w:tc>
          <w:tcPr>
            <w:tcW w:w="1559" w:type="dxa"/>
          </w:tcPr>
          <w:p w14:paraId="7DE454E8" w14:textId="066BEC46" w:rsidR="007A6191" w:rsidRPr="0049316B" w:rsidRDefault="00447EED" w:rsidP="00AE253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99.17 (3.0%)</w:t>
            </w:r>
          </w:p>
        </w:tc>
        <w:tc>
          <w:tcPr>
            <w:tcW w:w="3118" w:type="dxa"/>
          </w:tcPr>
          <w:p w14:paraId="3B9A5020" w14:textId="77777777" w:rsidR="007A6191" w:rsidRPr="0049316B" w:rsidRDefault="007A6191" w:rsidP="00D97069">
            <w:pPr>
              <w:widowControl w:val="0"/>
              <w:spacing w:line="360" w:lineRule="auto"/>
              <w:jc w:val="both"/>
              <w:rPr>
                <w:rFonts w:ascii="Candara" w:hAnsi="Candara" w:cs="Adobe Devanagari"/>
                <w:sz w:val="18"/>
                <w:szCs w:val="18"/>
              </w:rPr>
            </w:pPr>
          </w:p>
        </w:tc>
      </w:tr>
      <w:tr w:rsidR="007A6191" w:rsidRPr="0049316B" w14:paraId="459610F6" w14:textId="77777777" w:rsidTr="00005079">
        <w:tc>
          <w:tcPr>
            <w:tcW w:w="1271" w:type="dxa"/>
          </w:tcPr>
          <w:p w14:paraId="5A9C19E8" w14:textId="2D5D105D" w:rsidR="007A6191"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DC_lmo_12</w:t>
            </w:r>
          </w:p>
        </w:tc>
        <w:tc>
          <w:tcPr>
            <w:tcW w:w="1276" w:type="dxa"/>
          </w:tcPr>
          <w:p w14:paraId="319AC1BC" w14:textId="4B0156DD" w:rsidR="007A6191"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1337.9</w:t>
            </w:r>
          </w:p>
        </w:tc>
        <w:tc>
          <w:tcPr>
            <w:tcW w:w="2126" w:type="dxa"/>
          </w:tcPr>
          <w:p w14:paraId="190704B8" w14:textId="70D0FC0B" w:rsidR="007A6191" w:rsidRPr="0049316B" w:rsidRDefault="007A6191" w:rsidP="00AE253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90.5</w:t>
            </w:r>
          </w:p>
        </w:tc>
        <w:tc>
          <w:tcPr>
            <w:tcW w:w="1559" w:type="dxa"/>
          </w:tcPr>
          <w:p w14:paraId="3D4CBBE5" w14:textId="201B077D" w:rsidR="007A6191" w:rsidRPr="0049316B" w:rsidRDefault="00447EED" w:rsidP="00AE253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55.30 (4.1%)</w:t>
            </w:r>
          </w:p>
        </w:tc>
        <w:tc>
          <w:tcPr>
            <w:tcW w:w="3118" w:type="dxa"/>
          </w:tcPr>
          <w:p w14:paraId="43D10ABF" w14:textId="4AFD805D" w:rsidR="007A6191" w:rsidRPr="0049316B" w:rsidRDefault="00447EED" w:rsidP="00005079">
            <w:pPr>
              <w:widowControl w:val="0"/>
              <w:jc w:val="both"/>
              <w:rPr>
                <w:rFonts w:ascii="Candara" w:hAnsi="Candara" w:cs="Adobe Devanagari"/>
                <w:sz w:val="18"/>
                <w:szCs w:val="18"/>
              </w:rPr>
            </w:pPr>
            <w:r w:rsidRPr="0049316B">
              <w:rPr>
                <w:rFonts w:ascii="Candara" w:hAnsi="Candara" w:cs="Adobe Devanagari"/>
                <w:sz w:val="18"/>
                <w:szCs w:val="18"/>
              </w:rPr>
              <w:t xml:space="preserve">Contains WHA for Warblers. </w:t>
            </w:r>
            <w:r w:rsidRPr="0049316B">
              <w:rPr>
                <w:rFonts w:ascii="Candara" w:hAnsi="Candara" w:cs="Adobe Devanagari"/>
                <w:sz w:val="18"/>
                <w:szCs w:val="18"/>
                <w:lang w:val="en-CA"/>
              </w:rPr>
              <w:t>Adjacent to Trumpeter Swan nesting site.</w:t>
            </w:r>
          </w:p>
        </w:tc>
      </w:tr>
      <w:tr w:rsidR="007A6191" w:rsidRPr="0049316B" w14:paraId="1CC3DA85" w14:textId="77777777" w:rsidTr="00005079">
        <w:tc>
          <w:tcPr>
            <w:tcW w:w="1271" w:type="dxa"/>
          </w:tcPr>
          <w:p w14:paraId="6CA1FBBF" w14:textId="2F4CCFAC" w:rsidR="007A6191"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DC_lmo_13</w:t>
            </w:r>
          </w:p>
        </w:tc>
        <w:tc>
          <w:tcPr>
            <w:tcW w:w="1276" w:type="dxa"/>
          </w:tcPr>
          <w:p w14:paraId="1D43C4B4" w14:textId="4B556EC7" w:rsidR="007A6191" w:rsidRPr="0049316B" w:rsidRDefault="007A6191"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877.3</w:t>
            </w:r>
          </w:p>
        </w:tc>
        <w:tc>
          <w:tcPr>
            <w:tcW w:w="2126" w:type="dxa"/>
          </w:tcPr>
          <w:p w14:paraId="4BDDF09A" w14:textId="24F67F0E" w:rsidR="007A6191" w:rsidRPr="0049316B" w:rsidRDefault="007A6191" w:rsidP="00AE253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94.3</w:t>
            </w:r>
          </w:p>
        </w:tc>
        <w:tc>
          <w:tcPr>
            <w:tcW w:w="1559" w:type="dxa"/>
          </w:tcPr>
          <w:p w14:paraId="1C641B2A" w14:textId="4E27D519" w:rsidR="007A6191" w:rsidRPr="0049316B" w:rsidRDefault="00447EED" w:rsidP="00AE253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27.17 (3.1%)</w:t>
            </w:r>
          </w:p>
        </w:tc>
        <w:tc>
          <w:tcPr>
            <w:tcW w:w="3118" w:type="dxa"/>
          </w:tcPr>
          <w:p w14:paraId="4772DE38" w14:textId="438AC57F" w:rsidR="007A6191" w:rsidRPr="0049316B" w:rsidRDefault="00447EED" w:rsidP="00005079">
            <w:pPr>
              <w:widowControl w:val="0"/>
              <w:jc w:val="both"/>
              <w:rPr>
                <w:rFonts w:ascii="Candara" w:hAnsi="Candara" w:cs="Adobe Devanagari"/>
                <w:sz w:val="18"/>
                <w:szCs w:val="18"/>
              </w:rPr>
            </w:pPr>
            <w:r w:rsidRPr="00447EED">
              <w:rPr>
                <w:rFonts w:ascii="Candara" w:hAnsi="Candara" w:cs="Adobe Devanagari"/>
                <w:sz w:val="18"/>
                <w:szCs w:val="18"/>
                <w:lang w:val="en-CA"/>
              </w:rPr>
              <w:t>Contains historic First Nations trail and camp site. Adjacent to Trumpeter Swan nesting site.</w:t>
            </w:r>
          </w:p>
        </w:tc>
      </w:tr>
      <w:tr w:rsidR="007A6191" w:rsidRPr="0049316B" w14:paraId="670BF4FF" w14:textId="77777777" w:rsidTr="00005079">
        <w:tc>
          <w:tcPr>
            <w:tcW w:w="1271" w:type="dxa"/>
          </w:tcPr>
          <w:p w14:paraId="1F50ACEA" w14:textId="296B5D00" w:rsidR="007A6191" w:rsidRPr="0049316B" w:rsidRDefault="007A6191" w:rsidP="00D97069">
            <w:pPr>
              <w:widowControl w:val="0"/>
              <w:spacing w:line="360" w:lineRule="auto"/>
              <w:jc w:val="both"/>
              <w:rPr>
                <w:rFonts w:ascii="Candara" w:hAnsi="Candara" w:cs="Adobe Devanagari"/>
                <w:sz w:val="18"/>
                <w:szCs w:val="18"/>
              </w:rPr>
            </w:pPr>
            <w:r w:rsidRPr="0049316B">
              <w:rPr>
                <w:rFonts w:ascii="Candara" w:hAnsi="Candara" w:cs="Adobe Devanagari"/>
                <w:sz w:val="18"/>
                <w:szCs w:val="18"/>
              </w:rPr>
              <w:t>DC_pbo_13</w:t>
            </w:r>
          </w:p>
        </w:tc>
        <w:tc>
          <w:tcPr>
            <w:tcW w:w="1276" w:type="dxa"/>
          </w:tcPr>
          <w:p w14:paraId="7506432E" w14:textId="0B83E1DE" w:rsidR="007A6191" w:rsidRPr="0049316B" w:rsidRDefault="007A6191" w:rsidP="00005079">
            <w:pPr>
              <w:widowControl w:val="0"/>
              <w:spacing w:line="360" w:lineRule="auto"/>
              <w:jc w:val="center"/>
              <w:rPr>
                <w:rFonts w:ascii="Candara" w:hAnsi="Candara" w:cs="Adobe Devanagari"/>
                <w:sz w:val="18"/>
                <w:szCs w:val="18"/>
              </w:rPr>
            </w:pPr>
            <w:r w:rsidRPr="0049316B">
              <w:rPr>
                <w:rFonts w:ascii="Candara" w:hAnsi="Candara" w:cs="Adobe Devanagari"/>
                <w:sz w:val="18"/>
                <w:szCs w:val="18"/>
              </w:rPr>
              <w:t>14572.7</w:t>
            </w:r>
          </w:p>
        </w:tc>
        <w:tc>
          <w:tcPr>
            <w:tcW w:w="2126" w:type="dxa"/>
          </w:tcPr>
          <w:p w14:paraId="0C4C2211" w14:textId="02EEA153" w:rsidR="007A6191" w:rsidRPr="0049316B" w:rsidRDefault="007A6191" w:rsidP="00005079">
            <w:pPr>
              <w:widowControl w:val="0"/>
              <w:spacing w:line="360" w:lineRule="auto"/>
              <w:jc w:val="center"/>
              <w:rPr>
                <w:rFonts w:ascii="Candara" w:hAnsi="Candara" w:cs="Adobe Devanagari"/>
                <w:color w:val="FF0000"/>
                <w:sz w:val="18"/>
                <w:szCs w:val="18"/>
              </w:rPr>
            </w:pPr>
            <w:r w:rsidRPr="0049316B">
              <w:rPr>
                <w:rFonts w:ascii="Candara" w:hAnsi="Candara" w:cs="Adobe Devanagari"/>
                <w:color w:val="FF0000"/>
                <w:sz w:val="18"/>
                <w:szCs w:val="18"/>
              </w:rPr>
              <w:t>88.2</w:t>
            </w:r>
          </w:p>
        </w:tc>
        <w:tc>
          <w:tcPr>
            <w:tcW w:w="1559" w:type="dxa"/>
          </w:tcPr>
          <w:p w14:paraId="5FC39E72" w14:textId="456FE067" w:rsidR="007A6191" w:rsidRPr="0049316B" w:rsidRDefault="00447EED" w:rsidP="00005079">
            <w:pPr>
              <w:widowControl w:val="0"/>
              <w:spacing w:line="360" w:lineRule="auto"/>
              <w:jc w:val="center"/>
              <w:rPr>
                <w:rFonts w:ascii="Candara" w:hAnsi="Candara" w:cs="Adobe Devanagari"/>
                <w:sz w:val="18"/>
                <w:szCs w:val="18"/>
              </w:rPr>
            </w:pPr>
            <w:r w:rsidRPr="0049316B">
              <w:rPr>
                <w:rFonts w:ascii="Candara" w:hAnsi="Candara" w:cs="Adobe Devanagari"/>
                <w:color w:val="FF0000"/>
                <w:sz w:val="18"/>
                <w:szCs w:val="18"/>
              </w:rPr>
              <w:t>2937.10 (20.2%)</w:t>
            </w:r>
          </w:p>
        </w:tc>
        <w:tc>
          <w:tcPr>
            <w:tcW w:w="3118" w:type="dxa"/>
          </w:tcPr>
          <w:p w14:paraId="6EA2650F" w14:textId="345F3541" w:rsidR="007A6191" w:rsidRPr="0049316B" w:rsidRDefault="00447EED" w:rsidP="00005079">
            <w:pPr>
              <w:widowControl w:val="0"/>
              <w:jc w:val="both"/>
              <w:rPr>
                <w:rFonts w:ascii="Candara" w:hAnsi="Candara" w:cs="Adobe Devanagari"/>
                <w:sz w:val="18"/>
                <w:szCs w:val="18"/>
              </w:rPr>
            </w:pPr>
            <w:r w:rsidRPr="00447EED">
              <w:rPr>
                <w:rFonts w:ascii="Candara" w:hAnsi="Candara" w:cs="Adobe Devanagari"/>
                <w:sz w:val="18"/>
                <w:szCs w:val="18"/>
                <w:lang w:val="en-CA"/>
              </w:rPr>
              <w:t>Comprised of the proposed Peace Boudreau Protected Area</w:t>
            </w:r>
          </w:p>
        </w:tc>
      </w:tr>
      <w:tr w:rsidR="00407681" w:rsidRPr="0049316B" w14:paraId="178AECE7" w14:textId="77777777" w:rsidTr="00954601">
        <w:tc>
          <w:tcPr>
            <w:tcW w:w="9350" w:type="dxa"/>
            <w:gridSpan w:val="5"/>
          </w:tcPr>
          <w:p w14:paraId="3F9D7B2B" w14:textId="3B2D7368" w:rsidR="00407681" w:rsidRPr="00407681" w:rsidRDefault="00407681" w:rsidP="00D97069">
            <w:pPr>
              <w:widowControl w:val="0"/>
              <w:spacing w:line="360" w:lineRule="auto"/>
              <w:jc w:val="both"/>
              <w:rPr>
                <w:rFonts w:ascii="Candara" w:hAnsi="Candara" w:cs="Adobe Devanagari"/>
                <w:sz w:val="18"/>
                <w:szCs w:val="18"/>
              </w:rPr>
            </w:pPr>
            <w:r w:rsidRPr="00407681">
              <w:rPr>
                <w:rFonts w:ascii="Candara" w:hAnsi="Candara" w:cs="Adobe Devanagari"/>
                <w:color w:val="FF0000"/>
                <w:sz w:val="18"/>
                <w:szCs w:val="18"/>
              </w:rPr>
              <w:t xml:space="preserve">Red text indicates where incursion limits are exceeded. </w:t>
            </w:r>
          </w:p>
        </w:tc>
      </w:tr>
    </w:tbl>
    <w:p w14:paraId="77C7E2D9" w14:textId="77777777" w:rsidR="00D97069" w:rsidRPr="0049316B" w:rsidRDefault="00D97069" w:rsidP="00D97069">
      <w:pPr>
        <w:widowControl w:val="0"/>
        <w:spacing w:line="360" w:lineRule="auto"/>
        <w:jc w:val="both"/>
        <w:rPr>
          <w:rFonts w:ascii="Candara" w:hAnsi="Candara" w:cs="Adobe Devanagari"/>
          <w:sz w:val="20"/>
          <w:szCs w:val="20"/>
        </w:rPr>
      </w:pPr>
    </w:p>
    <w:p w14:paraId="48AAFB1F" w14:textId="177D3F2B" w:rsidR="00C81E61" w:rsidRPr="0049316B" w:rsidRDefault="00C81E61" w:rsidP="00D97069">
      <w:pPr>
        <w:widowControl w:val="0"/>
        <w:spacing w:line="360" w:lineRule="auto"/>
        <w:jc w:val="both"/>
        <w:rPr>
          <w:rFonts w:ascii="Candara" w:hAnsi="Candara" w:cs="Adobe Devanagari"/>
          <w:b/>
          <w:bCs/>
        </w:rPr>
      </w:pPr>
      <w:r w:rsidRPr="0049316B">
        <w:rPr>
          <w:rFonts w:ascii="Candara" w:hAnsi="Candara" w:cs="Adobe Devanagari"/>
          <w:b/>
          <w:bCs/>
        </w:rPr>
        <w:t>Figure 1: Site C OGMA incursion overview</w:t>
      </w:r>
    </w:p>
    <w:p w14:paraId="3778827F" w14:textId="1AE4A58B" w:rsidR="009F5D7B" w:rsidRPr="0049316B" w:rsidRDefault="00C81E61">
      <w:pPr>
        <w:rPr>
          <w:rFonts w:ascii="Candara" w:hAnsi="Candara"/>
        </w:rPr>
      </w:pPr>
      <w:r w:rsidRPr="0049316B">
        <w:rPr>
          <w:rFonts w:ascii="Candara" w:hAnsi="Candara"/>
          <w:noProof/>
        </w:rPr>
        <w:drawing>
          <wp:inline distT="0" distB="0" distL="0" distR="0" wp14:anchorId="50AF94FF" wp14:editId="0CC02F8C">
            <wp:extent cx="5943600" cy="3845560"/>
            <wp:effectExtent l="19050" t="19050" r="19050" b="21590"/>
            <wp:docPr id="13" name="Picture 12" descr="Chart, map&#10;&#10;Description automatically generated">
              <a:extLst xmlns:a="http://schemas.openxmlformats.org/drawingml/2006/main">
                <a:ext uri="{FF2B5EF4-FFF2-40B4-BE49-F238E27FC236}">
                  <a16:creationId xmlns:a16="http://schemas.microsoft.com/office/drawing/2014/main" id="{66E5B458-79C2-466D-83D4-68290167E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hart, map&#10;&#10;Description automatically generated">
                      <a:extLst>
                        <a:ext uri="{FF2B5EF4-FFF2-40B4-BE49-F238E27FC236}">
                          <a16:creationId xmlns:a16="http://schemas.microsoft.com/office/drawing/2014/main" id="{66E5B458-79C2-466D-83D4-68290167EAF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a:ln w="12700">
                      <a:solidFill>
                        <a:schemeClr val="tx1"/>
                      </a:solidFill>
                    </a:ln>
                  </pic:spPr>
                </pic:pic>
              </a:graphicData>
            </a:graphic>
          </wp:inline>
        </w:drawing>
      </w:r>
    </w:p>
    <w:sectPr w:rsidR="009F5D7B" w:rsidRPr="0049316B" w:rsidSect="00985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41364" w14:textId="77777777" w:rsidR="00985BF5" w:rsidRDefault="00985BF5" w:rsidP="00985BF5">
      <w:pPr>
        <w:spacing w:after="0" w:line="240" w:lineRule="auto"/>
      </w:pPr>
      <w:r>
        <w:separator/>
      </w:r>
    </w:p>
  </w:endnote>
  <w:endnote w:type="continuationSeparator" w:id="0">
    <w:p w14:paraId="39027C8A" w14:textId="77777777" w:rsidR="00985BF5" w:rsidRDefault="00985BF5" w:rsidP="0098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Devanagari">
    <w:altName w:val="Kokila"/>
    <w:panose1 w:val="00000000000000000000"/>
    <w:charset w:val="00"/>
    <w:family w:val="roman"/>
    <w:notTrueType/>
    <w:pitch w:val="variable"/>
    <w:sig w:usb0="00008003" w:usb1="00000000" w:usb2="00000000" w:usb3="00000000" w:csb0="00000001" w:csb1="00000000"/>
  </w:font>
  <w:font w:name="Aparajita">
    <w:charset w:val="00"/>
    <w:family w:val="roman"/>
    <w:pitch w:val="variable"/>
    <w:sig w:usb0="00008003" w:usb1="00000000" w:usb2="00000000" w:usb3="00000000" w:csb0="00000001" w:csb1="00000000"/>
  </w:font>
  <w:font w:name="Myriad-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B1AB" w14:textId="77777777" w:rsidR="00256CAB" w:rsidRDefault="0025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7CDB" w14:textId="77777777" w:rsidR="00256CAB" w:rsidRDefault="0025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3C85" w14:textId="77777777" w:rsidR="00256CAB" w:rsidRDefault="0025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5C5BF" w14:textId="77777777" w:rsidR="00985BF5" w:rsidRDefault="00985BF5" w:rsidP="00985BF5">
      <w:pPr>
        <w:spacing w:after="0" w:line="240" w:lineRule="auto"/>
      </w:pPr>
      <w:r>
        <w:separator/>
      </w:r>
    </w:p>
  </w:footnote>
  <w:footnote w:type="continuationSeparator" w:id="0">
    <w:p w14:paraId="2F8313C4" w14:textId="77777777" w:rsidR="00985BF5" w:rsidRDefault="00985BF5" w:rsidP="0098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3EEC" w14:textId="77777777" w:rsidR="00256CAB" w:rsidRDefault="0025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49D6" w14:textId="5525CEEC" w:rsidR="00985BF5" w:rsidRDefault="00985BF5">
    <w:pPr>
      <w:pStyle w:val="Header"/>
    </w:pPr>
    <w:r>
      <w:rPr>
        <w:rFonts w:ascii="Myriad-Pro" w:hAnsi="Myriad-Pro" w:cs="Arial"/>
        <w:color w:val="494949"/>
        <w:lang w:val="en"/>
      </w:rPr>
      <w:t xml:space="preserve"> </w:t>
    </w:r>
  </w:p>
  <w:p w14:paraId="71D723C7" w14:textId="77777777" w:rsidR="00985BF5" w:rsidRDefault="00985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2CFD" w14:textId="2680051C" w:rsidR="00985BF5" w:rsidRDefault="00985BF5">
    <w:pPr>
      <w:pStyle w:val="Header"/>
    </w:pPr>
    <w:r>
      <w:rPr>
        <w:rFonts w:ascii="Myriad-Pro" w:hAnsi="Myriad-Pro" w:cs="Arial"/>
        <w:noProof/>
        <w:color w:val="494949"/>
        <w:lang w:val="en"/>
      </w:rPr>
      <w:drawing>
        <wp:inline distT="0" distB="0" distL="0" distR="0" wp14:anchorId="1850C0B1" wp14:editId="65DFCD9A">
          <wp:extent cx="709545" cy="899160"/>
          <wp:effectExtent l="0" t="0" r="0" b="0"/>
          <wp:docPr id="2" name="Picture 2" descr="Logo oval image- Wildlife in a BC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val image- Wildlife in a BC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404" cy="1014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9"/>
    <w:rsid w:val="00005079"/>
    <w:rsid w:val="000108C9"/>
    <w:rsid w:val="00087694"/>
    <w:rsid w:val="00256CAB"/>
    <w:rsid w:val="00407681"/>
    <w:rsid w:val="00447EED"/>
    <w:rsid w:val="0049316B"/>
    <w:rsid w:val="006F47BF"/>
    <w:rsid w:val="007A6191"/>
    <w:rsid w:val="00831379"/>
    <w:rsid w:val="00985BF5"/>
    <w:rsid w:val="009F5D7B"/>
    <w:rsid w:val="00AE2539"/>
    <w:rsid w:val="00C81E61"/>
    <w:rsid w:val="00D97069"/>
    <w:rsid w:val="00F8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0CCE3"/>
  <w15:chartTrackingRefBased/>
  <w15:docId w15:val="{7CC31515-41CE-408A-91C6-2E020A29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F5"/>
  </w:style>
  <w:style w:type="paragraph" w:styleId="Footer">
    <w:name w:val="footer"/>
    <w:basedOn w:val="Normal"/>
    <w:link w:val="FooterChar"/>
    <w:uiPriority w:val="99"/>
    <w:unhideWhenUsed/>
    <w:rsid w:val="0098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F5"/>
  </w:style>
  <w:style w:type="character" w:styleId="Hyperlink">
    <w:name w:val="Hyperlink"/>
    <w:basedOn w:val="DefaultParagraphFont"/>
    <w:uiPriority w:val="99"/>
    <w:unhideWhenUsed/>
    <w:rsid w:val="00831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56236">
      <w:bodyDiv w:val="1"/>
      <w:marLeft w:val="0"/>
      <w:marRight w:val="0"/>
      <w:marTop w:val="0"/>
      <w:marBottom w:val="0"/>
      <w:divBdr>
        <w:top w:val="none" w:sz="0" w:space="0" w:color="auto"/>
        <w:left w:val="none" w:sz="0" w:space="0" w:color="auto"/>
        <w:bottom w:val="none" w:sz="0" w:space="0" w:color="auto"/>
        <w:right w:val="none" w:sz="0" w:space="0" w:color="auto"/>
      </w:divBdr>
    </w:div>
    <w:div w:id="1123308043">
      <w:bodyDiv w:val="1"/>
      <w:marLeft w:val="0"/>
      <w:marRight w:val="0"/>
      <w:marTop w:val="0"/>
      <w:marBottom w:val="0"/>
      <w:divBdr>
        <w:top w:val="none" w:sz="0" w:space="0" w:color="auto"/>
        <w:left w:val="none" w:sz="0" w:space="0" w:color="auto"/>
        <w:bottom w:val="none" w:sz="0" w:space="0" w:color="auto"/>
        <w:right w:val="none" w:sz="0" w:space="0" w:color="auto"/>
      </w:divBdr>
    </w:div>
    <w:div w:id="17427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brock@gov.bc.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Lisa FLNR:EX</dc:creator>
  <cp:keywords/>
  <dc:description/>
  <cp:lastModifiedBy>Brock, Lisa FLNR:EX</cp:lastModifiedBy>
  <cp:revision>6</cp:revision>
  <dcterms:created xsi:type="dcterms:W3CDTF">2021-06-10T00:26:00Z</dcterms:created>
  <dcterms:modified xsi:type="dcterms:W3CDTF">2021-06-16T04:44:00Z</dcterms:modified>
</cp:coreProperties>
</file>